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1D" w:rsidRDefault="00424C1D" w:rsidP="00424C1D">
      <w:pPr>
        <w:pStyle w:val="Title"/>
      </w:pPr>
      <w:r w:rsidRPr="00424C1D">
        <w:t>IT Infrastructure Roadmap</w:t>
      </w:r>
    </w:p>
    <w:p w:rsidR="00CE369E" w:rsidRPr="00CE369E" w:rsidRDefault="00CE369E" w:rsidP="00CE369E">
      <w:pPr>
        <w:pStyle w:val="Heading2"/>
        <w:numPr>
          <w:ilvl w:val="0"/>
          <w:numId w:val="0"/>
        </w:numPr>
        <w:ind w:left="576" w:hanging="576"/>
      </w:pPr>
      <w:bookmarkStart w:id="0" w:name="_GoBack"/>
      <w:bookmarkEnd w:id="0"/>
      <w:r w:rsidRPr="00CE369E">
        <w:t>Summary</w:t>
      </w:r>
    </w:p>
    <w:p w:rsidR="00CE369E" w:rsidRPr="00CE369E" w:rsidRDefault="00CE369E" w:rsidP="00CE369E">
      <w:pPr>
        <w:tabs>
          <w:tab w:val="clear" w:pos="720"/>
        </w:tabs>
        <w:suppressAutoHyphens w:val="0"/>
        <w:spacing w:after="0" w:line="240" w:lineRule="auto"/>
        <w:rPr>
          <w:rFonts w:eastAsiaTheme="minorHAnsi" w:cstheme="minorBidi"/>
          <w:color w:val="auto"/>
          <w:szCs w:val="21"/>
        </w:rPr>
      </w:pPr>
      <w:r w:rsidRPr="00CE369E">
        <w:rPr>
          <w:rFonts w:eastAsiaTheme="minorHAnsi" w:cstheme="minorBidi"/>
          <w:color w:val="auto"/>
          <w:szCs w:val="21"/>
        </w:rPr>
        <w:t>The University has an ambitious agenda to improve its position in world higher education rankings, through expanding its research, enhancing its student experience and increasing its overall impact through knowledge exchange and commercialisation.  In addition, its vision for 2025 includes challenging targets in:</w:t>
      </w:r>
    </w:p>
    <w:p w:rsidR="00CE369E" w:rsidRPr="00CE369E" w:rsidRDefault="00CE369E" w:rsidP="00CE369E">
      <w:pPr>
        <w:tabs>
          <w:tab w:val="clear" w:pos="720"/>
        </w:tabs>
        <w:suppressAutoHyphens w:val="0"/>
        <w:spacing w:after="0" w:line="240" w:lineRule="auto"/>
        <w:rPr>
          <w:rFonts w:eastAsiaTheme="minorHAnsi" w:cstheme="minorBidi"/>
          <w:color w:val="auto"/>
          <w:szCs w:val="21"/>
        </w:rPr>
      </w:pPr>
    </w:p>
    <w:p w:rsidR="00CE369E" w:rsidRPr="00CE369E" w:rsidRDefault="00CE369E" w:rsidP="00CE369E">
      <w:pPr>
        <w:numPr>
          <w:ilvl w:val="0"/>
          <w:numId w:val="9"/>
        </w:numPr>
        <w:spacing w:after="120"/>
      </w:pPr>
      <w:r w:rsidRPr="00CE369E">
        <w:t>Digital education with taught online undergraduate, postgraduate and flexible PhDs;</w:t>
      </w:r>
    </w:p>
    <w:p w:rsidR="00CE369E" w:rsidRPr="00CE369E" w:rsidRDefault="00CE369E" w:rsidP="00CE369E">
      <w:pPr>
        <w:numPr>
          <w:ilvl w:val="0"/>
          <w:numId w:val="9"/>
        </w:numPr>
        <w:spacing w:after="120"/>
      </w:pPr>
      <w:r w:rsidRPr="00CE369E">
        <w:t>Data driven research;</w:t>
      </w:r>
    </w:p>
    <w:p w:rsidR="00CE369E" w:rsidRPr="00CE369E" w:rsidRDefault="00CE369E" w:rsidP="00CE369E">
      <w:pPr>
        <w:numPr>
          <w:ilvl w:val="0"/>
          <w:numId w:val="9"/>
        </w:numPr>
        <w:spacing w:after="120"/>
      </w:pPr>
      <w:r w:rsidRPr="00CE369E">
        <w:t>Internationalisation - deep partnerships with peer universities and overseas experience for students.</w:t>
      </w:r>
    </w:p>
    <w:p w:rsidR="00CE369E" w:rsidRPr="00CE369E" w:rsidRDefault="00CE369E" w:rsidP="00CE369E">
      <w:pPr>
        <w:spacing w:after="120"/>
      </w:pPr>
      <w:r w:rsidRPr="00CE369E">
        <w:t xml:space="preserve">This agenda is not feasible without a robust IT infrastructure that: underpins a very wide range of services; has the capacity to meet the University’s growing needs; and which is available 24 x 365. </w:t>
      </w:r>
    </w:p>
    <w:p w:rsidR="00CE369E" w:rsidRPr="00CE369E" w:rsidRDefault="00CE369E" w:rsidP="00CE369E">
      <w:pPr>
        <w:spacing w:after="120"/>
      </w:pPr>
      <w:r w:rsidRPr="00CE369E">
        <w:t>Our current infrastructure does not have these characteristics.</w:t>
      </w:r>
    </w:p>
    <w:p w:rsidR="00CE369E" w:rsidRPr="00CE369E" w:rsidRDefault="00CE369E" w:rsidP="00CE369E">
      <w:pPr>
        <w:spacing w:after="120"/>
      </w:pPr>
      <w:r w:rsidRPr="00CE369E">
        <w:t xml:space="preserve">This paper presents a </w:t>
      </w:r>
      <w:proofErr w:type="spellStart"/>
      <w:r w:rsidRPr="00CE369E">
        <w:t>costed</w:t>
      </w:r>
      <w:proofErr w:type="spellEnd"/>
      <w:r w:rsidRPr="00CE369E">
        <w:t xml:space="preserve"> five-year roadmap for University of Edinburgh’s IT Infrastructure to bring that infrastructure up to the desired standard. We have divided the IT Infrastructure into four domains and, within each domain, used the standard IT industry “Run, Grow and Transform” model to differentiate activity. The likely investment required over the next 5 years is around £23m, a little over £4m pa. This includes the project costs associated with the Roadmap activities and the change to IS operational costs. All capital costs are contained within the project costs.   </w:t>
      </w:r>
    </w:p>
    <w:p w:rsidR="00CE369E" w:rsidRPr="00CE369E" w:rsidRDefault="00CE369E" w:rsidP="00CE369E">
      <w:pPr>
        <w:spacing w:after="120"/>
      </w:pPr>
    </w:p>
    <w:tbl>
      <w:tblPr>
        <w:tblStyle w:val="TableGrid1"/>
        <w:tblW w:w="0" w:type="auto"/>
        <w:tblLayout w:type="fixed"/>
        <w:tblLook w:val="04A0" w:firstRow="1" w:lastRow="0" w:firstColumn="1" w:lastColumn="0" w:noHBand="0" w:noVBand="1"/>
      </w:tblPr>
      <w:tblGrid>
        <w:gridCol w:w="1101"/>
        <w:gridCol w:w="850"/>
        <w:gridCol w:w="851"/>
        <w:gridCol w:w="850"/>
        <w:gridCol w:w="851"/>
        <w:gridCol w:w="850"/>
        <w:gridCol w:w="709"/>
        <w:gridCol w:w="850"/>
        <w:gridCol w:w="765"/>
        <w:gridCol w:w="806"/>
        <w:gridCol w:w="759"/>
      </w:tblGrid>
      <w:tr w:rsidR="00CE369E" w:rsidRPr="00CE369E" w:rsidTr="005E2B3F">
        <w:tc>
          <w:tcPr>
            <w:tcW w:w="1101" w:type="dxa"/>
            <w:tcBorders>
              <w:left w:val="nil"/>
              <w:bottom w:val="nil"/>
              <w:right w:val="nil"/>
            </w:tcBorders>
          </w:tcPr>
          <w:p w:rsidR="00CE369E" w:rsidRPr="00CE369E" w:rsidRDefault="00CE369E" w:rsidP="00CE369E">
            <w:pPr>
              <w:tabs>
                <w:tab w:val="clear" w:pos="720"/>
              </w:tabs>
              <w:suppressAutoHyphens w:val="0"/>
              <w:rPr>
                <w:rFonts w:eastAsiaTheme="majorEastAsia" w:cstheme="majorBidi"/>
                <w:b/>
                <w:bCs/>
                <w:iCs/>
                <w:color w:val="auto"/>
                <w:sz w:val="20"/>
                <w:szCs w:val="20"/>
              </w:rPr>
            </w:pPr>
          </w:p>
        </w:tc>
        <w:tc>
          <w:tcPr>
            <w:tcW w:w="1701" w:type="dxa"/>
            <w:gridSpan w:val="2"/>
            <w:tcBorders>
              <w:left w:val="nil"/>
              <w:bottom w:val="nil"/>
              <w:right w:val="nil"/>
            </w:tcBorders>
          </w:tcPr>
          <w:p w:rsidR="00CE369E" w:rsidRPr="00CE369E" w:rsidRDefault="00CE369E" w:rsidP="00CE369E">
            <w:pPr>
              <w:tabs>
                <w:tab w:val="clear" w:pos="720"/>
              </w:tabs>
              <w:suppressAutoHyphens w:val="0"/>
              <w:jc w:val="center"/>
              <w:rPr>
                <w:rFonts w:eastAsiaTheme="majorEastAsia" w:cstheme="majorBidi"/>
                <w:b/>
                <w:bCs/>
                <w:iCs/>
                <w:color w:val="auto"/>
                <w:sz w:val="20"/>
                <w:szCs w:val="20"/>
              </w:rPr>
            </w:pPr>
            <w:r w:rsidRPr="00CE369E">
              <w:rPr>
                <w:rFonts w:eastAsiaTheme="majorEastAsia" w:cstheme="majorBidi"/>
                <w:b/>
                <w:bCs/>
                <w:iCs/>
                <w:color w:val="auto"/>
                <w:sz w:val="20"/>
                <w:szCs w:val="20"/>
              </w:rPr>
              <w:t>2015/16</w:t>
            </w:r>
          </w:p>
        </w:tc>
        <w:tc>
          <w:tcPr>
            <w:tcW w:w="1701" w:type="dxa"/>
            <w:gridSpan w:val="2"/>
            <w:tcBorders>
              <w:left w:val="nil"/>
              <w:bottom w:val="nil"/>
              <w:right w:val="nil"/>
            </w:tcBorders>
          </w:tcPr>
          <w:p w:rsidR="00CE369E" w:rsidRPr="00CE369E" w:rsidRDefault="00CE369E" w:rsidP="00CE369E">
            <w:pPr>
              <w:tabs>
                <w:tab w:val="clear" w:pos="720"/>
              </w:tabs>
              <w:suppressAutoHyphens w:val="0"/>
              <w:jc w:val="center"/>
              <w:rPr>
                <w:rFonts w:eastAsiaTheme="majorEastAsia" w:cstheme="majorBidi"/>
                <w:b/>
                <w:bCs/>
                <w:iCs/>
                <w:color w:val="auto"/>
                <w:sz w:val="20"/>
                <w:szCs w:val="20"/>
              </w:rPr>
            </w:pPr>
            <w:r w:rsidRPr="00CE369E">
              <w:rPr>
                <w:rFonts w:eastAsiaTheme="majorEastAsia" w:cstheme="majorBidi"/>
                <w:b/>
                <w:bCs/>
                <w:iCs/>
                <w:color w:val="auto"/>
                <w:sz w:val="20"/>
                <w:szCs w:val="20"/>
              </w:rPr>
              <w:t>2016/17</w:t>
            </w:r>
          </w:p>
        </w:tc>
        <w:tc>
          <w:tcPr>
            <w:tcW w:w="1559" w:type="dxa"/>
            <w:gridSpan w:val="2"/>
            <w:tcBorders>
              <w:left w:val="nil"/>
              <w:bottom w:val="nil"/>
              <w:right w:val="nil"/>
            </w:tcBorders>
          </w:tcPr>
          <w:p w:rsidR="00CE369E" w:rsidRPr="00CE369E" w:rsidRDefault="00CE369E" w:rsidP="00CE369E">
            <w:pPr>
              <w:tabs>
                <w:tab w:val="clear" w:pos="720"/>
              </w:tabs>
              <w:suppressAutoHyphens w:val="0"/>
              <w:jc w:val="center"/>
              <w:rPr>
                <w:rFonts w:eastAsiaTheme="majorEastAsia" w:cstheme="majorBidi"/>
                <w:b/>
                <w:bCs/>
                <w:iCs/>
                <w:color w:val="auto"/>
                <w:sz w:val="20"/>
                <w:szCs w:val="20"/>
              </w:rPr>
            </w:pPr>
            <w:r w:rsidRPr="00CE369E">
              <w:rPr>
                <w:rFonts w:eastAsiaTheme="majorEastAsia" w:cstheme="majorBidi"/>
                <w:b/>
                <w:bCs/>
                <w:iCs/>
                <w:color w:val="auto"/>
                <w:sz w:val="20"/>
                <w:szCs w:val="20"/>
              </w:rPr>
              <w:t>2017/18</w:t>
            </w:r>
          </w:p>
        </w:tc>
        <w:tc>
          <w:tcPr>
            <w:tcW w:w="1615" w:type="dxa"/>
            <w:gridSpan w:val="2"/>
            <w:tcBorders>
              <w:left w:val="nil"/>
              <w:bottom w:val="nil"/>
              <w:right w:val="nil"/>
            </w:tcBorders>
          </w:tcPr>
          <w:p w:rsidR="00CE369E" w:rsidRPr="00CE369E" w:rsidRDefault="00CE369E" w:rsidP="00CE369E">
            <w:pPr>
              <w:tabs>
                <w:tab w:val="clear" w:pos="720"/>
              </w:tabs>
              <w:suppressAutoHyphens w:val="0"/>
              <w:jc w:val="center"/>
              <w:rPr>
                <w:rFonts w:eastAsiaTheme="majorEastAsia" w:cstheme="majorBidi"/>
                <w:b/>
                <w:bCs/>
                <w:iCs/>
                <w:color w:val="auto"/>
                <w:sz w:val="20"/>
                <w:szCs w:val="20"/>
              </w:rPr>
            </w:pPr>
            <w:r w:rsidRPr="00CE369E">
              <w:rPr>
                <w:rFonts w:eastAsiaTheme="majorEastAsia" w:cstheme="majorBidi"/>
                <w:b/>
                <w:bCs/>
                <w:iCs/>
                <w:color w:val="auto"/>
                <w:sz w:val="20"/>
                <w:szCs w:val="20"/>
              </w:rPr>
              <w:t>2018/19</w:t>
            </w:r>
          </w:p>
        </w:tc>
        <w:tc>
          <w:tcPr>
            <w:tcW w:w="1565" w:type="dxa"/>
            <w:gridSpan w:val="2"/>
            <w:tcBorders>
              <w:left w:val="nil"/>
              <w:bottom w:val="nil"/>
              <w:right w:val="nil"/>
            </w:tcBorders>
          </w:tcPr>
          <w:p w:rsidR="00CE369E" w:rsidRPr="00CE369E" w:rsidRDefault="00CE369E" w:rsidP="00CE369E">
            <w:pPr>
              <w:tabs>
                <w:tab w:val="clear" w:pos="720"/>
              </w:tabs>
              <w:suppressAutoHyphens w:val="0"/>
              <w:jc w:val="center"/>
              <w:rPr>
                <w:rFonts w:eastAsiaTheme="majorEastAsia" w:cstheme="majorBidi"/>
                <w:b/>
                <w:bCs/>
                <w:iCs/>
                <w:color w:val="auto"/>
                <w:sz w:val="20"/>
                <w:szCs w:val="20"/>
              </w:rPr>
            </w:pPr>
            <w:r w:rsidRPr="00CE369E">
              <w:rPr>
                <w:rFonts w:eastAsiaTheme="majorEastAsia" w:cstheme="majorBidi"/>
                <w:b/>
                <w:bCs/>
                <w:iCs/>
                <w:color w:val="auto"/>
                <w:sz w:val="20"/>
                <w:szCs w:val="20"/>
              </w:rPr>
              <w:t>2019/20</w:t>
            </w:r>
          </w:p>
        </w:tc>
      </w:tr>
      <w:tr w:rsidR="00CE369E" w:rsidRPr="00CE369E" w:rsidTr="005E2B3F">
        <w:tc>
          <w:tcPr>
            <w:tcW w:w="1101" w:type="dxa"/>
            <w:tcBorders>
              <w:top w:val="nil"/>
              <w:left w:val="nil"/>
              <w:bottom w:val="nil"/>
              <w:right w:val="nil"/>
            </w:tcBorders>
          </w:tcPr>
          <w:p w:rsidR="00CE369E" w:rsidRPr="00CE369E" w:rsidRDefault="00CE369E" w:rsidP="00CE369E">
            <w:pPr>
              <w:tabs>
                <w:tab w:val="clear" w:pos="720"/>
              </w:tabs>
              <w:suppressAutoHyphens w:val="0"/>
              <w:rPr>
                <w:rFonts w:eastAsiaTheme="majorEastAsia" w:cstheme="majorBidi"/>
                <w:b/>
                <w:bCs/>
                <w:iCs/>
                <w:color w:val="auto"/>
                <w:sz w:val="20"/>
                <w:szCs w:val="20"/>
              </w:rPr>
            </w:pPr>
          </w:p>
        </w:tc>
        <w:tc>
          <w:tcPr>
            <w:tcW w:w="850"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Project</w:t>
            </w:r>
          </w:p>
        </w:tc>
        <w:tc>
          <w:tcPr>
            <w:tcW w:w="851"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Op</w:t>
            </w:r>
          </w:p>
        </w:tc>
        <w:tc>
          <w:tcPr>
            <w:tcW w:w="850"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Project</w:t>
            </w:r>
          </w:p>
        </w:tc>
        <w:tc>
          <w:tcPr>
            <w:tcW w:w="851"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Op</w:t>
            </w:r>
          </w:p>
        </w:tc>
        <w:tc>
          <w:tcPr>
            <w:tcW w:w="850"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Project</w:t>
            </w:r>
          </w:p>
        </w:tc>
        <w:tc>
          <w:tcPr>
            <w:tcW w:w="709"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Op</w:t>
            </w:r>
          </w:p>
        </w:tc>
        <w:tc>
          <w:tcPr>
            <w:tcW w:w="850"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Project</w:t>
            </w:r>
          </w:p>
        </w:tc>
        <w:tc>
          <w:tcPr>
            <w:tcW w:w="765"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Op</w:t>
            </w:r>
          </w:p>
        </w:tc>
        <w:tc>
          <w:tcPr>
            <w:tcW w:w="806"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Project</w:t>
            </w:r>
          </w:p>
        </w:tc>
        <w:tc>
          <w:tcPr>
            <w:tcW w:w="759" w:type="dxa"/>
            <w:tcBorders>
              <w:top w:val="nil"/>
              <w:left w:val="nil"/>
              <w:bottom w:val="nil"/>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Op</w:t>
            </w:r>
          </w:p>
        </w:tc>
      </w:tr>
      <w:tr w:rsidR="00CE369E" w:rsidRPr="00CE369E" w:rsidTr="005E2B3F">
        <w:tc>
          <w:tcPr>
            <w:tcW w:w="1101" w:type="dxa"/>
            <w:tcBorders>
              <w:top w:val="nil"/>
              <w:left w:val="nil"/>
              <w:bottom w:val="single" w:sz="4" w:space="0" w:color="auto"/>
              <w:right w:val="nil"/>
            </w:tcBorders>
          </w:tcPr>
          <w:p w:rsidR="00CE369E" w:rsidRPr="00CE369E" w:rsidRDefault="00CE369E" w:rsidP="00CE369E">
            <w:pPr>
              <w:tabs>
                <w:tab w:val="clear" w:pos="720"/>
              </w:tabs>
              <w:suppressAutoHyphens w:val="0"/>
              <w:rPr>
                <w:rFonts w:eastAsiaTheme="majorEastAsia" w:cstheme="majorBidi"/>
                <w:b/>
                <w:bCs/>
                <w:iCs/>
                <w:color w:val="auto"/>
                <w:sz w:val="20"/>
                <w:szCs w:val="20"/>
              </w:rPr>
            </w:pPr>
          </w:p>
        </w:tc>
        <w:tc>
          <w:tcPr>
            <w:tcW w:w="850"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851"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850"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851"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850"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709"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850"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765"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806"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c>
          <w:tcPr>
            <w:tcW w:w="759" w:type="dxa"/>
            <w:tcBorders>
              <w:top w:val="nil"/>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£000</w:t>
            </w:r>
          </w:p>
        </w:tc>
      </w:tr>
      <w:tr w:rsidR="00CE369E" w:rsidRPr="00CE369E" w:rsidTr="005E2B3F">
        <w:tc>
          <w:tcPr>
            <w:tcW w:w="1101"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rPr>
                <w:rFonts w:eastAsiaTheme="majorEastAsia" w:cstheme="majorBidi"/>
                <w:bCs/>
                <w:iCs/>
                <w:color w:val="auto"/>
                <w:sz w:val="20"/>
                <w:szCs w:val="20"/>
              </w:rPr>
            </w:pPr>
            <w:r w:rsidRPr="00CE369E">
              <w:rPr>
                <w:rFonts w:eastAsiaTheme="majorEastAsia" w:cstheme="majorBidi"/>
                <w:bCs/>
                <w:iCs/>
                <w:color w:val="auto"/>
                <w:sz w:val="20"/>
                <w:szCs w:val="20"/>
              </w:rPr>
              <w:t>Run</w:t>
            </w:r>
          </w:p>
        </w:tc>
        <w:tc>
          <w:tcPr>
            <w:tcW w:w="850"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2,180</w:t>
            </w:r>
          </w:p>
        </w:tc>
        <w:tc>
          <w:tcPr>
            <w:tcW w:w="851"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4</w:t>
            </w:r>
          </w:p>
        </w:tc>
        <w:tc>
          <w:tcPr>
            <w:tcW w:w="850"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3,415</w:t>
            </w:r>
          </w:p>
        </w:tc>
        <w:tc>
          <w:tcPr>
            <w:tcW w:w="851"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FF0000"/>
                <w:sz w:val="20"/>
                <w:szCs w:val="20"/>
              </w:rPr>
              <w:t>(52)</w:t>
            </w:r>
          </w:p>
        </w:tc>
        <w:tc>
          <w:tcPr>
            <w:tcW w:w="850"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2,570</w:t>
            </w:r>
          </w:p>
        </w:tc>
        <w:tc>
          <w:tcPr>
            <w:tcW w:w="709"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FF0000"/>
                <w:sz w:val="20"/>
                <w:szCs w:val="20"/>
              </w:rPr>
              <w:t>(160)</w:t>
            </w:r>
          </w:p>
        </w:tc>
        <w:tc>
          <w:tcPr>
            <w:tcW w:w="850"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1,205</w:t>
            </w:r>
          </w:p>
        </w:tc>
        <w:tc>
          <w:tcPr>
            <w:tcW w:w="765"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FF0000"/>
                <w:sz w:val="20"/>
                <w:szCs w:val="20"/>
              </w:rPr>
              <w:t>(198)</w:t>
            </w:r>
          </w:p>
        </w:tc>
        <w:tc>
          <w:tcPr>
            <w:tcW w:w="806"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960</w:t>
            </w:r>
          </w:p>
        </w:tc>
        <w:tc>
          <w:tcPr>
            <w:tcW w:w="759" w:type="dxa"/>
            <w:tcBorders>
              <w:top w:val="single" w:sz="4" w:space="0" w:color="auto"/>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FF0000"/>
                <w:sz w:val="20"/>
                <w:szCs w:val="20"/>
              </w:rPr>
              <w:t>(198)</w:t>
            </w:r>
          </w:p>
        </w:tc>
      </w:tr>
      <w:tr w:rsidR="00CE369E" w:rsidRPr="00CE369E" w:rsidTr="005E2B3F">
        <w:tc>
          <w:tcPr>
            <w:tcW w:w="1101"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rPr>
                <w:rFonts w:eastAsiaTheme="majorEastAsia" w:cstheme="majorBidi"/>
                <w:bCs/>
                <w:iCs/>
                <w:color w:val="auto"/>
                <w:sz w:val="20"/>
                <w:szCs w:val="20"/>
              </w:rPr>
            </w:pPr>
            <w:r w:rsidRPr="00CE369E">
              <w:rPr>
                <w:rFonts w:eastAsiaTheme="majorEastAsia" w:cstheme="majorBidi"/>
                <w:bCs/>
                <w:iCs/>
                <w:color w:val="auto"/>
                <w:sz w:val="20"/>
                <w:szCs w:val="20"/>
              </w:rPr>
              <w:t>Grow</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1,060</w:t>
            </w:r>
          </w:p>
        </w:tc>
        <w:tc>
          <w:tcPr>
            <w:tcW w:w="851"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52</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1,800</w:t>
            </w:r>
          </w:p>
        </w:tc>
        <w:tc>
          <w:tcPr>
            <w:tcW w:w="851"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194</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800</w:t>
            </w:r>
          </w:p>
        </w:tc>
        <w:tc>
          <w:tcPr>
            <w:tcW w:w="709"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220</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1,100</w:t>
            </w:r>
          </w:p>
        </w:tc>
        <w:tc>
          <w:tcPr>
            <w:tcW w:w="765"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245</w:t>
            </w:r>
          </w:p>
        </w:tc>
        <w:tc>
          <w:tcPr>
            <w:tcW w:w="806"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130</w:t>
            </w:r>
          </w:p>
        </w:tc>
        <w:tc>
          <w:tcPr>
            <w:tcW w:w="759"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270</w:t>
            </w:r>
          </w:p>
        </w:tc>
      </w:tr>
      <w:tr w:rsidR="00CE369E" w:rsidRPr="00CE369E" w:rsidTr="005E2B3F">
        <w:tc>
          <w:tcPr>
            <w:tcW w:w="1101"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rPr>
                <w:rFonts w:eastAsiaTheme="majorEastAsia" w:cstheme="majorBidi"/>
                <w:bCs/>
                <w:iCs/>
                <w:color w:val="auto"/>
                <w:sz w:val="20"/>
                <w:szCs w:val="20"/>
              </w:rPr>
            </w:pPr>
            <w:r w:rsidRPr="00CE369E">
              <w:rPr>
                <w:rFonts w:eastAsiaTheme="majorEastAsia" w:cstheme="majorBidi"/>
                <w:bCs/>
                <w:iCs/>
                <w:color w:val="auto"/>
                <w:sz w:val="20"/>
                <w:szCs w:val="20"/>
              </w:rPr>
              <w:t>Transform</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973</w:t>
            </w:r>
          </w:p>
        </w:tc>
        <w:tc>
          <w:tcPr>
            <w:tcW w:w="851"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184</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772</w:t>
            </w:r>
          </w:p>
        </w:tc>
        <w:tc>
          <w:tcPr>
            <w:tcW w:w="851"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208</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760</w:t>
            </w:r>
          </w:p>
        </w:tc>
        <w:tc>
          <w:tcPr>
            <w:tcW w:w="709"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221</w:t>
            </w:r>
          </w:p>
        </w:tc>
        <w:tc>
          <w:tcPr>
            <w:tcW w:w="850"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1,760</w:t>
            </w:r>
          </w:p>
        </w:tc>
        <w:tc>
          <w:tcPr>
            <w:tcW w:w="765"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271</w:t>
            </w:r>
          </w:p>
        </w:tc>
        <w:tc>
          <w:tcPr>
            <w:tcW w:w="806"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1,760</w:t>
            </w:r>
          </w:p>
        </w:tc>
        <w:tc>
          <w:tcPr>
            <w:tcW w:w="759" w:type="dxa"/>
            <w:tcBorders>
              <w:top w:val="single" w:sz="4" w:space="0" w:color="BFBFBF" w:themeColor="background1" w:themeShade="BF"/>
              <w:left w:val="nil"/>
              <w:bottom w:val="single" w:sz="4" w:space="0" w:color="BFBFBF" w:themeColor="background1" w:themeShade="BF"/>
              <w:right w:val="nil"/>
            </w:tcBorders>
          </w:tcPr>
          <w:p w:rsidR="00CE369E" w:rsidRPr="00CE369E" w:rsidRDefault="00CE369E" w:rsidP="00CE369E">
            <w:pPr>
              <w:tabs>
                <w:tab w:val="clear" w:pos="720"/>
              </w:tabs>
              <w:suppressAutoHyphens w:val="0"/>
              <w:jc w:val="right"/>
              <w:rPr>
                <w:rFonts w:eastAsiaTheme="majorEastAsia" w:cstheme="majorBidi"/>
                <w:bCs/>
                <w:iCs/>
                <w:color w:val="auto"/>
                <w:sz w:val="20"/>
                <w:szCs w:val="20"/>
              </w:rPr>
            </w:pPr>
            <w:r w:rsidRPr="00CE369E">
              <w:rPr>
                <w:rFonts w:eastAsiaTheme="majorEastAsia" w:cstheme="majorBidi"/>
                <w:bCs/>
                <w:iCs/>
                <w:color w:val="auto"/>
                <w:sz w:val="20"/>
                <w:szCs w:val="20"/>
              </w:rPr>
              <w:t>261</w:t>
            </w:r>
          </w:p>
        </w:tc>
      </w:tr>
      <w:tr w:rsidR="00CE369E" w:rsidRPr="00CE369E" w:rsidTr="005E2B3F">
        <w:tc>
          <w:tcPr>
            <w:tcW w:w="1101"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rPr>
                <w:rFonts w:eastAsiaTheme="majorEastAsia" w:cstheme="majorBidi"/>
                <w:b/>
                <w:bCs/>
                <w:iCs/>
                <w:color w:val="auto"/>
                <w:sz w:val="20"/>
                <w:szCs w:val="20"/>
              </w:rPr>
            </w:pPr>
            <w:r w:rsidRPr="00CE369E">
              <w:rPr>
                <w:rFonts w:eastAsiaTheme="majorEastAsia" w:cstheme="majorBidi"/>
                <w:b/>
                <w:bCs/>
                <w:iCs/>
                <w:color w:val="auto"/>
                <w:sz w:val="20"/>
                <w:szCs w:val="20"/>
              </w:rPr>
              <w:t xml:space="preserve">Total </w:t>
            </w:r>
          </w:p>
        </w:tc>
        <w:tc>
          <w:tcPr>
            <w:tcW w:w="850"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4,213</w:t>
            </w:r>
          </w:p>
        </w:tc>
        <w:tc>
          <w:tcPr>
            <w:tcW w:w="851"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240</w:t>
            </w:r>
          </w:p>
        </w:tc>
        <w:tc>
          <w:tcPr>
            <w:tcW w:w="850"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5,987</w:t>
            </w:r>
          </w:p>
        </w:tc>
        <w:tc>
          <w:tcPr>
            <w:tcW w:w="851"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350</w:t>
            </w:r>
          </w:p>
        </w:tc>
        <w:tc>
          <w:tcPr>
            <w:tcW w:w="850"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4,130</w:t>
            </w:r>
          </w:p>
        </w:tc>
        <w:tc>
          <w:tcPr>
            <w:tcW w:w="709"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281</w:t>
            </w:r>
          </w:p>
        </w:tc>
        <w:tc>
          <w:tcPr>
            <w:tcW w:w="850"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4,065</w:t>
            </w:r>
          </w:p>
        </w:tc>
        <w:tc>
          <w:tcPr>
            <w:tcW w:w="765"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318</w:t>
            </w:r>
          </w:p>
        </w:tc>
        <w:tc>
          <w:tcPr>
            <w:tcW w:w="806"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2,850</w:t>
            </w:r>
          </w:p>
        </w:tc>
        <w:tc>
          <w:tcPr>
            <w:tcW w:w="759" w:type="dxa"/>
            <w:tcBorders>
              <w:top w:val="single" w:sz="4" w:space="0" w:color="BFBFBF" w:themeColor="background1" w:themeShade="BF"/>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333</w:t>
            </w:r>
          </w:p>
        </w:tc>
      </w:tr>
      <w:tr w:rsidR="00CE369E" w:rsidRPr="00CE369E" w:rsidTr="005E2B3F">
        <w:tc>
          <w:tcPr>
            <w:tcW w:w="1101"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rPr>
                <w:rFonts w:eastAsiaTheme="majorEastAsia" w:cstheme="majorBidi"/>
                <w:b/>
                <w:bCs/>
                <w:iCs/>
                <w:color w:val="auto"/>
                <w:sz w:val="20"/>
                <w:szCs w:val="20"/>
              </w:rPr>
            </w:pPr>
            <w:r w:rsidRPr="00CE369E">
              <w:rPr>
                <w:rFonts w:eastAsiaTheme="majorEastAsia" w:cstheme="majorBidi"/>
                <w:b/>
                <w:bCs/>
                <w:iCs/>
                <w:color w:val="auto"/>
                <w:sz w:val="20"/>
                <w:szCs w:val="20"/>
              </w:rPr>
              <w:t>TOTAL</w:t>
            </w:r>
          </w:p>
        </w:tc>
        <w:tc>
          <w:tcPr>
            <w:tcW w:w="850"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851"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850"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851"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850"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709"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850"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765" w:type="dxa"/>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p>
        </w:tc>
        <w:tc>
          <w:tcPr>
            <w:tcW w:w="1565" w:type="dxa"/>
            <w:gridSpan w:val="2"/>
            <w:tcBorders>
              <w:top w:val="single" w:sz="4" w:space="0" w:color="auto"/>
              <w:left w:val="nil"/>
              <w:bottom w:val="single" w:sz="4" w:space="0" w:color="auto"/>
              <w:right w:val="nil"/>
            </w:tcBorders>
          </w:tcPr>
          <w:p w:rsidR="00CE369E" w:rsidRPr="00CE369E" w:rsidRDefault="00CE369E" w:rsidP="00CE369E">
            <w:pPr>
              <w:tabs>
                <w:tab w:val="clear" w:pos="720"/>
              </w:tabs>
              <w:suppressAutoHyphens w:val="0"/>
              <w:jc w:val="right"/>
              <w:rPr>
                <w:rFonts w:eastAsiaTheme="majorEastAsia" w:cstheme="majorBidi"/>
                <w:b/>
                <w:bCs/>
                <w:iCs/>
                <w:color w:val="auto"/>
                <w:sz w:val="20"/>
                <w:szCs w:val="20"/>
              </w:rPr>
            </w:pPr>
            <w:r w:rsidRPr="00CE369E">
              <w:rPr>
                <w:rFonts w:eastAsiaTheme="majorEastAsia" w:cstheme="majorBidi"/>
                <w:b/>
                <w:bCs/>
                <w:iCs/>
                <w:color w:val="auto"/>
                <w:sz w:val="20"/>
                <w:szCs w:val="20"/>
              </w:rPr>
              <w:t>22,767</w:t>
            </w:r>
          </w:p>
        </w:tc>
      </w:tr>
    </w:tbl>
    <w:p w:rsidR="00CE369E" w:rsidRPr="00CE369E" w:rsidRDefault="00CE369E" w:rsidP="00CE369E">
      <w:pPr>
        <w:spacing w:after="120"/>
      </w:pPr>
    </w:p>
    <w:p w:rsidR="00CE369E" w:rsidRPr="00CE369E" w:rsidRDefault="00CE369E" w:rsidP="00CE369E">
      <w:pPr>
        <w:spacing w:after="120"/>
      </w:pPr>
      <w:r w:rsidRPr="00CE369E">
        <w:t xml:space="preserve">Within the Run activity, that is investment required to sustain current business function, we have </w:t>
      </w:r>
      <w:proofErr w:type="gramStart"/>
      <w:r w:rsidRPr="00CE369E">
        <w:t>identified</w:t>
      </w:r>
      <w:proofErr w:type="gramEnd"/>
      <w:r w:rsidRPr="00CE369E">
        <w:t xml:space="preserve"> some technical debt or maintenance backlog, particularly in the Network Domain. It is essential that we repay this debt by replacing equipment which is beyond its normal replacement cycle. An example of this is the University telephone system which will be at serious risk of catastrophic failure within the 5 year horizon of the roadmap. Additionally, we will see increasing unreliability and poor performance in our edge network. Users would be likely to experience disconnections at peak times and frustrating delays when accessing their data, which would be felt most acutely by those with large research data sets.</w:t>
      </w:r>
    </w:p>
    <w:p w:rsidR="00CE369E" w:rsidRPr="00CE369E" w:rsidRDefault="00CE369E" w:rsidP="00CE369E">
      <w:pPr>
        <w:spacing w:after="120"/>
      </w:pPr>
      <w:r w:rsidRPr="00CE369E">
        <w:t xml:space="preserve">When considering Grow activity, related to the expansion of the University’s current business, and Transform activity, related to the investment required </w:t>
      </w:r>
      <w:proofErr w:type="gramStart"/>
      <w:r w:rsidRPr="00CE369E">
        <w:t>to develop</w:t>
      </w:r>
      <w:proofErr w:type="gramEnd"/>
      <w:r w:rsidRPr="00CE369E">
        <w:t xml:space="preserve"> new University activity, we have used a project approach to both identify costs and demonstrate the business need for each activity, </w:t>
      </w:r>
      <w:r w:rsidRPr="00CE369E">
        <w:lastRenderedPageBreak/>
        <w:t xml:space="preserve">linking them to University strategy. Project costs include consideration of the impact on ongoing operational costs; increases in costs; and a projection of efficiency savings. This has allowed us to show the impact on our Run costs of implementing the projects. </w:t>
      </w:r>
    </w:p>
    <w:p w:rsidR="00CE369E" w:rsidRPr="00CE369E" w:rsidRDefault="00CE369E" w:rsidP="00CE369E">
      <w:pPr>
        <w:spacing w:after="120"/>
      </w:pPr>
      <w:r w:rsidRPr="00CE369E">
        <w:t>For each project there is a ‘data sheet’ in Appendix A which presents: a brief description; costs; and linkages to the University strategy.</w:t>
      </w:r>
    </w:p>
    <w:p w:rsidR="00CE369E" w:rsidRPr="00CE369E" w:rsidRDefault="00CE369E" w:rsidP="00CE369E">
      <w:pPr>
        <w:spacing w:after="120"/>
      </w:pPr>
      <w:r w:rsidRPr="00CE369E">
        <w:t>We asked our colleagues from the Colleges and Support Groups to prioritise the transform project activities. The analysis shows that there are different priorities for the different areas and those activities which occur earlier on the road map are seen as more important, at this time, than those which are further into the future. This diversity of need and uncertainty re the future, are strong indicators that we need to retain flexibility in our approach. To do this we are recommending that the funding is seen as an envelope against which IS can ‘call off’ projects rather than funding only to do the things we can foresee today. In order to effect changes to the roadmap, a governance process overseen by KSC will be put in place. It is anticipated that this will be an annual review process covering a 5 year forward look.</w:t>
      </w:r>
    </w:p>
    <w:p w:rsidR="009430AF" w:rsidRDefault="009430AF">
      <w:pPr>
        <w:tabs>
          <w:tab w:val="clear" w:pos="720"/>
        </w:tabs>
        <w:suppressAutoHyphens w:val="0"/>
      </w:pPr>
      <w:r>
        <w:br w:type="page"/>
      </w:r>
    </w:p>
    <w:p w:rsidR="008024E6" w:rsidRDefault="008024E6" w:rsidP="008024E6">
      <w:pPr>
        <w:pStyle w:val="Heading2"/>
        <w:numPr>
          <w:ilvl w:val="0"/>
          <w:numId w:val="0"/>
        </w:numPr>
        <w:ind w:left="576" w:hanging="576"/>
      </w:pPr>
      <w:r>
        <w:lastRenderedPageBreak/>
        <w:t>Infrastructure Context</w:t>
      </w:r>
    </w:p>
    <w:p w:rsidR="0004398C" w:rsidRDefault="008024E6" w:rsidP="00424C1D">
      <w:pPr>
        <w:tabs>
          <w:tab w:val="clear" w:pos="720"/>
        </w:tabs>
        <w:suppressAutoHyphens w:val="0"/>
      </w:pPr>
      <w:r w:rsidRPr="00F95BC3">
        <w:t>To understand the roadmap it is useful to consider how IT Infrastructure underpins the overall function o</w:t>
      </w:r>
      <w:r w:rsidR="00F95BC3" w:rsidRPr="00F95BC3">
        <w:t>f University and to explain the separate infrastructure domains.  We also present</w:t>
      </w:r>
      <w:r w:rsidR="00F95BC3">
        <w:t xml:space="preserve"> how the infrastructure can be separated into different business activities and the</w:t>
      </w:r>
      <w:r w:rsidR="0004398C">
        <w:t xml:space="preserve"> metrics </w:t>
      </w:r>
      <w:r w:rsidR="009430AF">
        <w:t xml:space="preserve">that </w:t>
      </w:r>
      <w:r w:rsidR="0004398C">
        <w:t>are used to guide our investment.</w:t>
      </w:r>
    </w:p>
    <w:p w:rsidR="00ED4F92" w:rsidRDefault="0004398C" w:rsidP="00B1513C">
      <w:pPr>
        <w:pStyle w:val="Heading4"/>
      </w:pPr>
      <w:r>
        <w:t>Operating Model</w:t>
      </w:r>
    </w:p>
    <w:p w:rsidR="00ED4F92" w:rsidRDefault="00ED4F92" w:rsidP="00ED4F92">
      <w:r>
        <w:t>The following diagram shows a simplified representation of how the central IT Infrastructure underpins the Unive</w:t>
      </w:r>
      <w:r w:rsidR="000621AB">
        <w:t xml:space="preserve">rsity’s core digital services, </w:t>
      </w:r>
      <w:r>
        <w:t>the digital research and teaching activities across the academic colleges and the administrative functions of the other support groups.</w:t>
      </w:r>
    </w:p>
    <w:p w:rsidR="003A4FFE" w:rsidRPr="00ED4F92" w:rsidRDefault="003A4FFE" w:rsidP="00ED4F92">
      <w:r>
        <w:t xml:space="preserve">Figure 1: </w:t>
      </w:r>
      <w:r w:rsidR="00D04425">
        <w:t>Digital Services Delivery Model</w:t>
      </w:r>
    </w:p>
    <w:p w:rsidR="0004398C" w:rsidRDefault="0004398C" w:rsidP="0004398C"/>
    <w:p w:rsidR="00A07056" w:rsidRPr="0004398C" w:rsidRDefault="00A07056" w:rsidP="00A07056">
      <w:pPr>
        <w:jc w:val="center"/>
      </w:pPr>
      <w:r w:rsidRPr="00A07056">
        <w:rPr>
          <w:noProof/>
          <w:lang w:eastAsia="en-GB"/>
        </w:rPr>
        <w:drawing>
          <wp:inline distT="0" distB="0" distL="0" distR="0">
            <wp:extent cx="3449406" cy="326915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9406" cy="32691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24C1D" w:rsidRDefault="00424C1D" w:rsidP="00424C1D">
      <w:pPr>
        <w:pStyle w:val="Textbody"/>
        <w:rPr>
          <w:color w:val="FF0000"/>
        </w:rPr>
      </w:pPr>
    </w:p>
    <w:p w:rsidR="003A4FFE" w:rsidRPr="00ED4F92" w:rsidRDefault="00ED4F92" w:rsidP="00424C1D">
      <w:pPr>
        <w:pStyle w:val="Textbody"/>
        <w:rPr>
          <w:color w:val="auto"/>
        </w:rPr>
      </w:pPr>
      <w:r w:rsidRPr="00ED4F92">
        <w:rPr>
          <w:color w:val="auto"/>
        </w:rPr>
        <w:t>In</w:t>
      </w:r>
      <w:r>
        <w:rPr>
          <w:color w:val="auto"/>
        </w:rPr>
        <w:t xml:space="preserve">formation services is </w:t>
      </w:r>
      <w:r w:rsidR="00483435">
        <w:rPr>
          <w:color w:val="auto"/>
        </w:rPr>
        <w:t>organised</w:t>
      </w:r>
      <w:r>
        <w:rPr>
          <w:color w:val="auto"/>
        </w:rPr>
        <w:t xml:space="preserve"> into seven divisions, each aligned to a different business function. </w:t>
      </w:r>
      <w:r w:rsidR="00483435">
        <w:rPr>
          <w:color w:val="auto"/>
        </w:rPr>
        <w:t xml:space="preserve">  </w:t>
      </w:r>
      <w:r w:rsidR="00483435">
        <w:t xml:space="preserve">Applications delivering the enterprise services; Teaching learning and the web – the web and technology enhanced learning services e.g. Learn and University web site; Library and University Collections the services to discover and borrow library resources;  with User Services providing a common front door to all institutional services . Edina and DCC are a little different as they deliver services to the UK higher education community and as such have a different engagement model with users.  </w:t>
      </w:r>
      <w:r w:rsidR="00483435">
        <w:rPr>
          <w:color w:val="auto"/>
        </w:rPr>
        <w:t>All of these business functions are underpinned by an IT Infrastructure which provides common platforms and services for all of this activity, and so delivers the efficiencies of consolidation</w:t>
      </w:r>
      <w:r w:rsidR="00F95BC3">
        <w:rPr>
          <w:color w:val="auto"/>
        </w:rPr>
        <w:t xml:space="preserve"> and the skills benefit of centralisation</w:t>
      </w:r>
      <w:r w:rsidR="00483435">
        <w:rPr>
          <w:color w:val="auto"/>
        </w:rPr>
        <w:t>.  Alongside this, the central IT infrastructure is consumed by the colleges and support groups, both to host their own services - such as researchers running simulations on central infrastructure - and for the data and voice networks used by all.</w:t>
      </w:r>
    </w:p>
    <w:p w:rsidR="003A4FFE" w:rsidRPr="00251D20" w:rsidRDefault="00EC14AB" w:rsidP="00A048BC">
      <w:pPr>
        <w:tabs>
          <w:tab w:val="clear" w:pos="720"/>
        </w:tabs>
        <w:suppressAutoHyphens w:val="0"/>
        <w:jc w:val="center"/>
        <w:rPr>
          <w:rFonts w:asciiTheme="minorHAnsi" w:eastAsiaTheme="minorHAnsi" w:hAnsiTheme="minorHAnsi" w:cstheme="minorBidi"/>
          <w:color w:val="auto"/>
        </w:rPr>
      </w:pPr>
      <w:r w:rsidRPr="00251D20">
        <w:rPr>
          <w:rFonts w:asciiTheme="minorHAnsi" w:eastAsiaTheme="minorHAnsi" w:hAnsiTheme="minorHAnsi" w:cstheme="minorBidi"/>
          <w:color w:val="auto"/>
        </w:rPr>
        <w:object w:dxaOrig="4477" w:dyaOrig="4023" w14:anchorId="73B04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pt;height:166.55pt" o:ole="">
            <v:imagedata r:id="rId12" o:title=""/>
          </v:shape>
          <o:OLEObject Type="Embed" ProgID="Visio.Drawing.11" ShapeID="_x0000_i1025" DrawAspect="Content" ObjectID="_1486373908" r:id="rId13"/>
        </w:object>
      </w:r>
    </w:p>
    <w:p w:rsidR="0027448D" w:rsidRPr="0027448D" w:rsidRDefault="003A4FFE" w:rsidP="0027448D">
      <w:pPr>
        <w:tabs>
          <w:tab w:val="clear" w:pos="720"/>
        </w:tabs>
        <w:suppressAutoHyphens w:val="0"/>
        <w:rPr>
          <w:rFonts w:asciiTheme="minorHAnsi" w:eastAsiaTheme="minorHAnsi" w:hAnsiTheme="minorHAnsi" w:cstheme="minorBidi"/>
          <w:color w:val="auto"/>
        </w:rPr>
      </w:pPr>
      <w:r w:rsidRPr="00251D20">
        <w:rPr>
          <w:rFonts w:asciiTheme="minorHAnsi" w:eastAsiaTheme="minorHAnsi" w:hAnsiTheme="minorHAnsi" w:cstheme="minorBidi"/>
          <w:color w:val="auto"/>
        </w:rPr>
        <w:t xml:space="preserve">This model shows that how each layer of the IT ‘stack’ is used to deliver services to the layer above it in the model and those services are also offered directly to users as services in their own right. For example IS operates a virtual server </w:t>
      </w:r>
      <w:r w:rsidR="00483435">
        <w:rPr>
          <w:rFonts w:asciiTheme="minorHAnsi" w:eastAsiaTheme="minorHAnsi" w:hAnsiTheme="minorHAnsi" w:cstheme="minorBidi"/>
          <w:color w:val="auto"/>
        </w:rPr>
        <w:t xml:space="preserve">hosting </w:t>
      </w:r>
      <w:r w:rsidRPr="00251D20">
        <w:rPr>
          <w:rFonts w:asciiTheme="minorHAnsi" w:eastAsiaTheme="minorHAnsi" w:hAnsiTheme="minorHAnsi" w:cstheme="minorBidi"/>
          <w:color w:val="auto"/>
        </w:rPr>
        <w:t>service in the infrastructure layer which is made available to users to run their own applications, and the same service is also used to provide the servers to run the University’s enterprise services – e</w:t>
      </w:r>
      <w:r w:rsidR="00B23B32">
        <w:rPr>
          <w:rFonts w:asciiTheme="minorHAnsi" w:eastAsiaTheme="minorHAnsi" w:hAnsiTheme="minorHAnsi" w:cstheme="minorBidi"/>
          <w:color w:val="auto"/>
        </w:rPr>
        <w:t xml:space="preserve">.g. </w:t>
      </w:r>
      <w:r w:rsidRPr="00251D20">
        <w:rPr>
          <w:rFonts w:asciiTheme="minorHAnsi" w:eastAsiaTheme="minorHAnsi" w:hAnsiTheme="minorHAnsi" w:cstheme="minorBidi"/>
          <w:color w:val="auto"/>
        </w:rPr>
        <w:t xml:space="preserve">the </w:t>
      </w:r>
      <w:proofErr w:type="spellStart"/>
      <w:r w:rsidRPr="00251D20">
        <w:rPr>
          <w:rFonts w:asciiTheme="minorHAnsi" w:eastAsiaTheme="minorHAnsi" w:hAnsiTheme="minorHAnsi" w:cstheme="minorBidi"/>
          <w:color w:val="auto"/>
        </w:rPr>
        <w:t>MyEd</w:t>
      </w:r>
      <w:proofErr w:type="spellEnd"/>
      <w:r w:rsidRPr="00251D20">
        <w:rPr>
          <w:rFonts w:asciiTheme="minorHAnsi" w:eastAsiaTheme="minorHAnsi" w:hAnsiTheme="minorHAnsi" w:cstheme="minorBidi"/>
          <w:color w:val="auto"/>
        </w:rPr>
        <w:t xml:space="preserve"> portal or the Finance sy</w:t>
      </w:r>
      <w:r w:rsidR="0027448D">
        <w:rPr>
          <w:rFonts w:asciiTheme="minorHAnsi" w:eastAsiaTheme="minorHAnsi" w:hAnsiTheme="minorHAnsi" w:cstheme="minorBidi"/>
          <w:color w:val="auto"/>
        </w:rPr>
        <w:t>stems.</w:t>
      </w:r>
    </w:p>
    <w:p w:rsidR="000621AB" w:rsidRPr="00251D20" w:rsidRDefault="000621AB" w:rsidP="003A4FFE">
      <w:pPr>
        <w:pStyle w:val="Heading4"/>
      </w:pPr>
      <w:r w:rsidRPr="00251D20">
        <w:t>IT Infrastructure Architecture</w:t>
      </w:r>
    </w:p>
    <w:p w:rsidR="000621AB" w:rsidRDefault="000621AB" w:rsidP="000621AB">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color w:val="auto"/>
        </w:rPr>
        <w:t xml:space="preserve">Within the </w:t>
      </w:r>
      <w:r w:rsidRPr="00251D20">
        <w:rPr>
          <w:rFonts w:asciiTheme="minorHAnsi" w:eastAsiaTheme="minorHAnsi" w:hAnsiTheme="minorHAnsi" w:cstheme="minorBidi"/>
          <w:color w:val="auto"/>
        </w:rPr>
        <w:t xml:space="preserve">IT infrastructure </w:t>
      </w:r>
      <w:r>
        <w:rPr>
          <w:rFonts w:asciiTheme="minorHAnsi" w:eastAsiaTheme="minorHAnsi" w:hAnsiTheme="minorHAnsi" w:cstheme="minorBidi"/>
          <w:color w:val="auto"/>
        </w:rPr>
        <w:t xml:space="preserve">we again subdivide into domains. </w:t>
      </w:r>
      <w:r w:rsidRPr="00251D20">
        <w:rPr>
          <w:rFonts w:asciiTheme="minorHAnsi" w:eastAsiaTheme="minorHAnsi" w:hAnsiTheme="minorHAnsi" w:cstheme="minorBidi"/>
          <w:color w:val="auto"/>
        </w:rPr>
        <w:t xml:space="preserve">The following diagram shows the domains and the main </w:t>
      </w:r>
      <w:r w:rsidR="003A4FFE">
        <w:rPr>
          <w:rFonts w:asciiTheme="minorHAnsi" w:eastAsiaTheme="minorHAnsi" w:hAnsiTheme="minorHAnsi" w:cstheme="minorBidi"/>
          <w:color w:val="auto"/>
        </w:rPr>
        <w:t>services that are delivered from</w:t>
      </w:r>
      <w:r w:rsidRPr="00251D20">
        <w:rPr>
          <w:rFonts w:asciiTheme="minorHAnsi" w:eastAsiaTheme="minorHAnsi" w:hAnsiTheme="minorHAnsi" w:cstheme="minorBidi"/>
          <w:color w:val="auto"/>
        </w:rPr>
        <w:t xml:space="preserve"> each.</w:t>
      </w:r>
    </w:p>
    <w:p w:rsidR="000621AB" w:rsidRPr="00251D20" w:rsidRDefault="009430AF" w:rsidP="000621AB">
      <w:pPr>
        <w:tabs>
          <w:tab w:val="clear" w:pos="720"/>
        </w:tabs>
        <w:suppressAutoHyphens w:val="0"/>
        <w:rPr>
          <w:rFonts w:asciiTheme="minorHAnsi" w:eastAsiaTheme="minorHAnsi" w:hAnsiTheme="minorHAnsi" w:cstheme="minorBidi"/>
          <w:color w:val="auto"/>
        </w:rPr>
      </w:pPr>
      <w:r w:rsidRPr="00251D20">
        <w:rPr>
          <w:rFonts w:asciiTheme="minorHAnsi" w:eastAsiaTheme="minorHAnsi" w:hAnsiTheme="minorHAnsi" w:cstheme="minorBidi"/>
          <w:color w:val="auto"/>
        </w:rPr>
        <w:object w:dxaOrig="9873" w:dyaOrig="6660" w14:anchorId="31532AD7">
          <v:shape id="_x0000_i1026" type="#_x0000_t75" style="width:405.1pt;height:273.6pt" o:ole="">
            <v:imagedata r:id="rId14" o:title=""/>
          </v:shape>
          <o:OLEObject Type="Embed" ProgID="Visio.Drawing.11" ShapeID="_x0000_i1026" DrawAspect="Content" ObjectID="_1486373909" r:id="rId15"/>
        </w:object>
      </w:r>
    </w:p>
    <w:p w:rsidR="000621AB" w:rsidRPr="00251D20" w:rsidRDefault="000621AB" w:rsidP="000621AB">
      <w:pPr>
        <w:tabs>
          <w:tab w:val="clear" w:pos="720"/>
        </w:tabs>
        <w:suppressAutoHyphens w:val="0"/>
        <w:rPr>
          <w:rFonts w:asciiTheme="minorHAnsi" w:eastAsiaTheme="minorHAnsi" w:hAnsiTheme="minorHAnsi" w:cstheme="minorBidi"/>
          <w:color w:val="auto"/>
        </w:rPr>
      </w:pPr>
    </w:p>
    <w:p w:rsidR="000621AB" w:rsidRPr="00251D20" w:rsidRDefault="00A048BC" w:rsidP="000621AB">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color w:val="auto"/>
        </w:rPr>
        <w:t xml:space="preserve">The components that </w:t>
      </w:r>
      <w:r w:rsidR="000621AB" w:rsidRPr="00251D20">
        <w:rPr>
          <w:rFonts w:asciiTheme="minorHAnsi" w:eastAsiaTheme="minorHAnsi" w:hAnsiTheme="minorHAnsi" w:cstheme="minorBidi"/>
          <w:color w:val="auto"/>
        </w:rPr>
        <w:t>make up the domains are shown in the following diagram</w:t>
      </w:r>
      <w:r>
        <w:rPr>
          <w:rFonts w:asciiTheme="minorHAnsi" w:eastAsiaTheme="minorHAnsi" w:hAnsiTheme="minorHAnsi" w:cstheme="minorBidi"/>
          <w:color w:val="auto"/>
        </w:rPr>
        <w:t>.</w:t>
      </w:r>
    </w:p>
    <w:p w:rsidR="000621AB" w:rsidRPr="00251D20" w:rsidRDefault="000621AB" w:rsidP="000621AB">
      <w:pPr>
        <w:tabs>
          <w:tab w:val="clear" w:pos="720"/>
        </w:tabs>
        <w:suppressAutoHyphens w:val="0"/>
        <w:rPr>
          <w:rFonts w:asciiTheme="minorHAnsi" w:eastAsiaTheme="minorHAnsi" w:hAnsiTheme="minorHAnsi" w:cstheme="minorBidi"/>
          <w:color w:val="auto"/>
        </w:rPr>
      </w:pPr>
      <w:r w:rsidRPr="00251D20">
        <w:rPr>
          <w:rFonts w:asciiTheme="minorHAnsi" w:eastAsiaTheme="minorHAnsi" w:hAnsiTheme="minorHAnsi" w:cstheme="minorBidi"/>
          <w:color w:val="auto"/>
        </w:rPr>
        <w:object w:dxaOrig="10005" w:dyaOrig="5753" w14:anchorId="00113FDF">
          <v:shape id="_x0000_i1027" type="#_x0000_t75" style="width:452.05pt;height:258.55pt" o:ole="">
            <v:imagedata r:id="rId16" o:title=""/>
          </v:shape>
          <o:OLEObject Type="Embed" ProgID="Visio.Drawing.11" ShapeID="_x0000_i1027" DrawAspect="Content" ObjectID="_1486373910" r:id="rId17"/>
        </w:object>
      </w:r>
    </w:p>
    <w:p w:rsidR="00F37D96" w:rsidRDefault="00F37D96" w:rsidP="00F37D96">
      <w:pPr>
        <w:tabs>
          <w:tab w:val="clear" w:pos="720"/>
        </w:tabs>
        <w:suppressAutoHyphens w:val="0"/>
        <w:rPr>
          <w:rFonts w:asciiTheme="minorHAnsi" w:eastAsiaTheme="minorHAnsi" w:hAnsiTheme="minorHAnsi" w:cstheme="minorBidi"/>
          <w:color w:val="auto"/>
        </w:rPr>
      </w:pPr>
      <w:r w:rsidRPr="00D04425">
        <w:rPr>
          <w:rFonts w:asciiTheme="minorHAnsi" w:eastAsiaTheme="minorHAnsi" w:hAnsiTheme="minorHAnsi" w:cstheme="minorBidi"/>
          <w:color w:val="auto"/>
        </w:rPr>
        <w:t>The desktop domain delivers the “pane of glass” through which all digital services are viewed – either through</w:t>
      </w:r>
      <w:r>
        <w:rPr>
          <w:rFonts w:asciiTheme="minorHAnsi" w:eastAsiaTheme="minorHAnsi" w:hAnsiTheme="minorHAnsi" w:cstheme="minorBidi"/>
          <w:color w:val="auto"/>
        </w:rPr>
        <w:t xml:space="preserve"> the support University’s desktop environment or through the supply of personal computers in open access student study spaces.  It also provides technologies to deliver applications to mobile devices or user owned devices.</w:t>
      </w:r>
    </w:p>
    <w:p w:rsidR="00F37D96" w:rsidRDefault="00F37D96" w:rsidP="00F37D96">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color w:val="auto"/>
        </w:rPr>
        <w:t xml:space="preserve">The hardware domain consists of the server and storage infrastructure which hosts all the University’s central digital services and is made available for schools as platforms on which to run their own services.  Key to this is the provision of </w:t>
      </w:r>
      <w:r w:rsidRPr="00FD186A">
        <w:rPr>
          <w:rFonts w:asciiTheme="minorHAnsi" w:eastAsiaTheme="minorHAnsi" w:hAnsiTheme="minorHAnsi" w:cstheme="minorBidi"/>
          <w:i/>
          <w:color w:val="auto"/>
        </w:rPr>
        <w:t>virtual server hosting</w:t>
      </w:r>
      <w:r>
        <w:rPr>
          <w:rFonts w:asciiTheme="minorHAnsi" w:eastAsiaTheme="minorHAnsi" w:hAnsiTheme="minorHAnsi" w:cstheme="minorBidi"/>
          <w:color w:val="auto"/>
        </w:rPr>
        <w:t xml:space="preserve"> environment, which opens up the central compute and storage infrastructure to be used by others.</w:t>
      </w:r>
    </w:p>
    <w:p w:rsidR="00F37D96" w:rsidRDefault="00F37D96" w:rsidP="00F37D96">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color w:val="auto"/>
        </w:rPr>
        <w:t xml:space="preserve"> It also provides the central University research data analysis and simulation services and holds the University’s research data services.</w:t>
      </w:r>
    </w:p>
    <w:p w:rsidR="00F37D96" w:rsidRDefault="00F37D96" w:rsidP="00F37D96">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color w:val="auto"/>
        </w:rPr>
        <w:t xml:space="preserve">The network and telecommunications domain provides all of the University managed data and voice networks.  The </w:t>
      </w:r>
      <w:r w:rsidRPr="00CA47C7">
        <w:rPr>
          <w:rFonts w:asciiTheme="minorHAnsi" w:eastAsiaTheme="minorHAnsi" w:hAnsiTheme="minorHAnsi" w:cstheme="minorBidi"/>
          <w:i/>
          <w:color w:val="auto"/>
        </w:rPr>
        <w:t>core</w:t>
      </w:r>
      <w:r>
        <w:rPr>
          <w:rFonts w:asciiTheme="minorHAnsi" w:eastAsiaTheme="minorHAnsi" w:hAnsiTheme="minorHAnsi" w:cstheme="minorBidi"/>
          <w:color w:val="auto"/>
        </w:rPr>
        <w:t xml:space="preserve"> network delivers the institution’s Internet connectivity and the main links between University campuses; the </w:t>
      </w:r>
      <w:r w:rsidRPr="00EE4D78">
        <w:rPr>
          <w:rFonts w:asciiTheme="minorHAnsi" w:eastAsiaTheme="minorHAnsi" w:hAnsiTheme="minorHAnsi" w:cstheme="minorBidi"/>
          <w:i/>
          <w:color w:val="auto"/>
        </w:rPr>
        <w:t>edge</w:t>
      </w:r>
      <w:r>
        <w:rPr>
          <w:rFonts w:asciiTheme="minorHAnsi" w:eastAsiaTheme="minorHAnsi" w:hAnsiTheme="minorHAnsi" w:cstheme="minorBidi"/>
          <w:i/>
          <w:color w:val="auto"/>
        </w:rPr>
        <w:t xml:space="preserve"> </w:t>
      </w:r>
      <w:r>
        <w:rPr>
          <w:rFonts w:asciiTheme="minorHAnsi" w:eastAsiaTheme="minorHAnsi" w:hAnsiTheme="minorHAnsi" w:cstheme="minorBidi"/>
          <w:color w:val="auto"/>
        </w:rPr>
        <w:t>network provides internal building data networks which connect edge devices such as desktop PCs or personal tablets.  It also provides the University’s fixed telephones.</w:t>
      </w:r>
    </w:p>
    <w:p w:rsidR="00F37D96" w:rsidRDefault="00F37D96" w:rsidP="00F37D96">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color w:val="auto"/>
        </w:rPr>
        <w:t>The data centre domain contains the three physical environments which contain the University’s central server and storage infrastructure, and the core network.  They provide the necessary resilient power, cooling and connectivity to deliver our services.</w:t>
      </w:r>
    </w:p>
    <w:p w:rsidR="00F37D96" w:rsidRPr="00EE4D78" w:rsidRDefault="00F37D96" w:rsidP="00F37D96">
      <w:pPr>
        <w:tabs>
          <w:tab w:val="clear" w:pos="720"/>
        </w:tabs>
        <w:suppressAutoHyphens w:val="0"/>
        <w:rPr>
          <w:rFonts w:asciiTheme="minorHAnsi" w:eastAsiaTheme="minorHAnsi" w:hAnsiTheme="minorHAnsi" w:cstheme="minorBidi"/>
          <w:color w:val="auto"/>
        </w:rPr>
      </w:pPr>
      <w:r w:rsidRPr="0037108A">
        <w:rPr>
          <w:rFonts w:asciiTheme="minorHAnsi" w:eastAsiaTheme="minorHAnsi" w:hAnsiTheme="minorHAnsi" w:cstheme="minorBidi"/>
          <w:color w:val="auto"/>
        </w:rPr>
        <w:t xml:space="preserve">These domains are more fully described in Appendix </w:t>
      </w:r>
      <w:r w:rsidR="00030B67" w:rsidRPr="00F95BC3">
        <w:rPr>
          <w:rFonts w:asciiTheme="minorHAnsi" w:eastAsiaTheme="minorHAnsi" w:hAnsiTheme="minorHAnsi" w:cstheme="minorBidi"/>
          <w:color w:val="auto"/>
        </w:rPr>
        <w:t>E</w:t>
      </w:r>
      <w:r w:rsidRPr="0037108A">
        <w:rPr>
          <w:rFonts w:asciiTheme="minorHAnsi" w:eastAsiaTheme="minorHAnsi" w:hAnsiTheme="minorHAnsi" w:cstheme="minorBidi"/>
          <w:color w:val="auto"/>
        </w:rPr>
        <w:t>.</w:t>
      </w:r>
    </w:p>
    <w:p w:rsidR="00F37D96" w:rsidRPr="00D04425" w:rsidRDefault="00F37D96" w:rsidP="00F37D96">
      <w:pPr>
        <w:tabs>
          <w:tab w:val="clear" w:pos="720"/>
        </w:tabs>
        <w:suppressAutoHyphens w:val="0"/>
        <w:rPr>
          <w:rFonts w:asciiTheme="minorHAnsi" w:eastAsiaTheme="minorHAnsi" w:hAnsiTheme="minorHAnsi" w:cstheme="minorBidi"/>
          <w:color w:val="auto"/>
        </w:rPr>
      </w:pPr>
      <w:r w:rsidRPr="00D04425">
        <w:rPr>
          <w:rFonts w:asciiTheme="minorHAnsi" w:eastAsiaTheme="minorHAnsi" w:hAnsiTheme="minorHAnsi" w:cstheme="minorBidi"/>
          <w:color w:val="auto"/>
        </w:rPr>
        <w:t>The audio-visual technology used across the estate in teaching and learning spaces was not considered in this review</w:t>
      </w:r>
      <w:r w:rsidR="00B20DD3">
        <w:rPr>
          <w:rFonts w:asciiTheme="minorHAnsi" w:eastAsiaTheme="minorHAnsi" w:hAnsiTheme="minorHAnsi" w:cstheme="minorBidi"/>
          <w:color w:val="auto"/>
        </w:rPr>
        <w:t>.</w:t>
      </w:r>
    </w:p>
    <w:p w:rsidR="00424C1D" w:rsidRPr="0027448D" w:rsidRDefault="00424C1D" w:rsidP="0027448D">
      <w:pPr>
        <w:pStyle w:val="Heading4"/>
      </w:pPr>
      <w:r w:rsidRPr="00E96E1D">
        <w:rPr>
          <w:b w:val="0"/>
          <w:bCs w:val="0"/>
          <w:sz w:val="26"/>
          <w:szCs w:val="26"/>
        </w:rPr>
        <w:lastRenderedPageBreak/>
        <w:t>Roadmap planning</w:t>
      </w:r>
    </w:p>
    <w:p w:rsidR="00424C1D" w:rsidRDefault="00424C1D" w:rsidP="00424C1D">
      <w:pPr>
        <w:tabs>
          <w:tab w:val="clear" w:pos="720"/>
        </w:tabs>
        <w:suppressAutoHyphens w:val="0"/>
        <w:rPr>
          <w:rFonts w:asciiTheme="minorHAnsi" w:eastAsiaTheme="minorHAnsi" w:hAnsiTheme="minorHAnsi" w:cstheme="minorBidi"/>
          <w:color w:val="auto"/>
        </w:rPr>
      </w:pPr>
      <w:r w:rsidRPr="00E96E1D">
        <w:rPr>
          <w:rFonts w:asciiTheme="minorHAnsi" w:eastAsiaTheme="minorHAnsi" w:hAnsiTheme="minorHAnsi" w:cstheme="minorBidi"/>
          <w:color w:val="auto"/>
        </w:rPr>
        <w:t>In this section we look at what driv</w:t>
      </w:r>
      <w:r w:rsidR="00F41C2D">
        <w:rPr>
          <w:rFonts w:asciiTheme="minorHAnsi" w:eastAsiaTheme="minorHAnsi" w:hAnsiTheme="minorHAnsi" w:cstheme="minorBidi"/>
          <w:color w:val="auto"/>
        </w:rPr>
        <w:t>es the roadmap. We have used a Run, Grow, T</w:t>
      </w:r>
      <w:r w:rsidRPr="00E96E1D">
        <w:rPr>
          <w:rFonts w:asciiTheme="minorHAnsi" w:eastAsiaTheme="minorHAnsi" w:hAnsiTheme="minorHAnsi" w:cstheme="minorBidi"/>
          <w:color w:val="auto"/>
        </w:rPr>
        <w:t>ransform analysis to categorise activities and used replacement cycles and performance metrics to assess service le</w:t>
      </w:r>
      <w:r w:rsidR="0027448D">
        <w:rPr>
          <w:rFonts w:asciiTheme="minorHAnsi" w:eastAsiaTheme="minorHAnsi" w:hAnsiTheme="minorHAnsi" w:cstheme="minorBidi"/>
          <w:color w:val="auto"/>
        </w:rPr>
        <w:t>vels against capital investments</w:t>
      </w:r>
      <w:r w:rsidRPr="00E96E1D">
        <w:rPr>
          <w:rFonts w:asciiTheme="minorHAnsi" w:eastAsiaTheme="minorHAnsi" w:hAnsiTheme="minorHAnsi" w:cstheme="minorBidi"/>
          <w:color w:val="auto"/>
        </w:rPr>
        <w:t>.</w:t>
      </w:r>
    </w:p>
    <w:p w:rsidR="00F41C2D" w:rsidRPr="00E96E1D" w:rsidRDefault="00F41C2D" w:rsidP="00F41C2D">
      <w:pPr>
        <w:pStyle w:val="Heading5"/>
      </w:pPr>
      <w:r>
        <w:t>RGT Framework</w:t>
      </w:r>
    </w:p>
    <w:p w:rsidR="00F95BC3" w:rsidRDefault="00483435">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color w:val="auto"/>
        </w:rPr>
        <w:t xml:space="preserve">We have chosen to use the </w:t>
      </w:r>
      <w:r w:rsidR="00F41C2D" w:rsidRPr="00F41C2D">
        <w:rPr>
          <w:rFonts w:asciiTheme="minorHAnsi" w:eastAsiaTheme="minorHAnsi" w:hAnsiTheme="minorHAnsi" w:cstheme="minorBidi"/>
          <w:color w:val="auto"/>
        </w:rPr>
        <w:t>RGT</w:t>
      </w:r>
      <w:r w:rsidR="00F41C2D">
        <w:rPr>
          <w:rFonts w:asciiTheme="minorHAnsi" w:eastAsiaTheme="minorHAnsi" w:hAnsiTheme="minorHAnsi" w:cstheme="minorBidi"/>
          <w:i/>
          <w:color w:val="auto"/>
        </w:rPr>
        <w:t xml:space="preserve"> </w:t>
      </w:r>
      <w:r w:rsidR="00424C1D" w:rsidRPr="00E96E1D">
        <w:rPr>
          <w:rFonts w:asciiTheme="minorHAnsi" w:eastAsiaTheme="minorHAnsi" w:hAnsiTheme="minorHAnsi" w:cstheme="minorBidi"/>
          <w:color w:val="auto"/>
        </w:rPr>
        <w:t xml:space="preserve">framework to categorise the breakdown of the planned IT infrastructure investment, ensuring we clearly determine the business value of any specific IT investments which the Infrastructure review and resulting roadmap recommend. </w:t>
      </w:r>
    </w:p>
    <w:p w:rsidR="00424C1D" w:rsidRPr="00E96E1D" w:rsidRDefault="00F41C2D" w:rsidP="00424C1D">
      <w:pPr>
        <w:tabs>
          <w:tab w:val="clear" w:pos="720"/>
        </w:tabs>
        <w:suppressAutoHyphens w:val="0"/>
        <w:rPr>
          <w:rFonts w:asciiTheme="minorHAnsi" w:eastAsiaTheme="minorHAnsi" w:hAnsiTheme="minorHAnsi" w:cstheme="minorBidi"/>
          <w:color w:val="auto"/>
        </w:rPr>
      </w:pPr>
      <w:r>
        <w:rPr>
          <w:rFonts w:asciiTheme="minorHAnsi" w:eastAsiaTheme="minorHAnsi" w:hAnsiTheme="minorHAnsi" w:cstheme="minorBidi"/>
          <w:noProof/>
          <w:color w:val="auto"/>
          <w:lang w:eastAsia="en-GB"/>
        </w:rPr>
        <w:drawing>
          <wp:inline distT="0" distB="0" distL="0" distR="0">
            <wp:extent cx="4438650" cy="33292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T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38977" cy="3329479"/>
                    </a:xfrm>
                    <a:prstGeom prst="rect">
                      <a:avLst/>
                    </a:prstGeom>
                  </pic:spPr>
                </pic:pic>
              </a:graphicData>
            </a:graphic>
          </wp:inline>
        </w:drawing>
      </w:r>
    </w:p>
    <w:p w:rsidR="0027448D" w:rsidRPr="001E2D49" w:rsidRDefault="0027448D" w:rsidP="00424C1D">
      <w:pPr>
        <w:tabs>
          <w:tab w:val="clear" w:pos="720"/>
        </w:tabs>
        <w:suppressAutoHyphens w:val="0"/>
        <w:rPr>
          <w:rFonts w:asciiTheme="minorHAnsi" w:eastAsiaTheme="minorHAnsi" w:hAnsiTheme="minorHAnsi" w:cstheme="minorBidi"/>
          <w:color w:val="auto"/>
        </w:rPr>
      </w:pPr>
      <w:r w:rsidRPr="0027448D">
        <w:rPr>
          <w:rFonts w:asciiTheme="minorHAnsi" w:eastAsiaTheme="minorHAnsi" w:hAnsiTheme="minorHAnsi" w:cstheme="minorBidi"/>
          <w:i/>
          <w:color w:val="auto"/>
        </w:rPr>
        <w:t>Run</w:t>
      </w:r>
      <w:r>
        <w:rPr>
          <w:rFonts w:asciiTheme="minorHAnsi" w:eastAsiaTheme="minorHAnsi" w:hAnsiTheme="minorHAnsi" w:cstheme="minorBidi"/>
          <w:color w:val="auto"/>
        </w:rPr>
        <w:t xml:space="preserve"> investment </w:t>
      </w:r>
      <w:r w:rsidR="001E2D49">
        <w:rPr>
          <w:rFonts w:asciiTheme="minorHAnsi" w:eastAsiaTheme="minorHAnsi" w:hAnsiTheme="minorHAnsi" w:cstheme="minorBidi"/>
          <w:color w:val="auto"/>
        </w:rPr>
        <w:t>sustain</w:t>
      </w:r>
      <w:r w:rsidR="00EC14AB">
        <w:rPr>
          <w:rFonts w:asciiTheme="minorHAnsi" w:eastAsiaTheme="minorHAnsi" w:hAnsiTheme="minorHAnsi" w:cstheme="minorBidi"/>
          <w:color w:val="auto"/>
        </w:rPr>
        <w:t>s</w:t>
      </w:r>
      <w:r w:rsidR="001E2D49">
        <w:rPr>
          <w:rFonts w:asciiTheme="minorHAnsi" w:eastAsiaTheme="minorHAnsi" w:hAnsiTheme="minorHAnsi" w:cstheme="minorBidi"/>
          <w:color w:val="auto"/>
        </w:rPr>
        <w:t xml:space="preserve"> the University’s current business activity, </w:t>
      </w:r>
      <w:r w:rsidR="001E2D49" w:rsidRPr="001E2D49">
        <w:rPr>
          <w:rFonts w:asciiTheme="minorHAnsi" w:eastAsiaTheme="minorHAnsi" w:hAnsiTheme="minorHAnsi" w:cstheme="minorBidi"/>
          <w:i/>
          <w:color w:val="auto"/>
        </w:rPr>
        <w:t>Grow</w:t>
      </w:r>
      <w:r w:rsidR="001E2D49">
        <w:rPr>
          <w:rFonts w:asciiTheme="minorHAnsi" w:eastAsiaTheme="minorHAnsi" w:hAnsiTheme="minorHAnsi" w:cstheme="minorBidi"/>
          <w:i/>
          <w:color w:val="auto"/>
        </w:rPr>
        <w:t xml:space="preserve"> </w:t>
      </w:r>
      <w:r w:rsidR="001E2D49">
        <w:rPr>
          <w:rFonts w:asciiTheme="minorHAnsi" w:eastAsiaTheme="minorHAnsi" w:hAnsiTheme="minorHAnsi" w:cstheme="minorBidi"/>
          <w:color w:val="auto"/>
        </w:rPr>
        <w:t>investment facilitate</w:t>
      </w:r>
      <w:r w:rsidR="00F41C2D">
        <w:rPr>
          <w:rFonts w:asciiTheme="minorHAnsi" w:eastAsiaTheme="minorHAnsi" w:hAnsiTheme="minorHAnsi" w:cstheme="minorBidi"/>
          <w:color w:val="auto"/>
        </w:rPr>
        <w:t>s</w:t>
      </w:r>
      <w:r w:rsidR="001E2D49">
        <w:rPr>
          <w:rFonts w:asciiTheme="minorHAnsi" w:eastAsiaTheme="minorHAnsi" w:hAnsiTheme="minorHAnsi" w:cstheme="minorBidi"/>
          <w:color w:val="auto"/>
        </w:rPr>
        <w:t xml:space="preserve"> the increase in demand for existing services, e.g. through increased undergraduate numbers using online learning environments or increasing numbers of researchers using current data analysis </w:t>
      </w:r>
      <w:r w:rsidR="00EC14AB">
        <w:rPr>
          <w:rFonts w:asciiTheme="minorHAnsi" w:eastAsiaTheme="minorHAnsi" w:hAnsiTheme="minorHAnsi" w:cstheme="minorBidi"/>
          <w:color w:val="auto"/>
        </w:rPr>
        <w:t>platforms</w:t>
      </w:r>
      <w:r w:rsidR="001E2D49">
        <w:rPr>
          <w:rFonts w:asciiTheme="minorHAnsi" w:eastAsiaTheme="minorHAnsi" w:hAnsiTheme="minorHAnsi" w:cstheme="minorBidi"/>
          <w:color w:val="auto"/>
        </w:rPr>
        <w:t xml:space="preserve"> for quantitative analysis,  </w:t>
      </w:r>
      <w:r w:rsidR="001E2D49" w:rsidRPr="001E2D49">
        <w:rPr>
          <w:rFonts w:asciiTheme="minorHAnsi" w:eastAsiaTheme="minorHAnsi" w:hAnsiTheme="minorHAnsi" w:cstheme="minorBidi"/>
          <w:i/>
          <w:color w:val="auto"/>
        </w:rPr>
        <w:t>Transform</w:t>
      </w:r>
      <w:r w:rsidR="001E2D49">
        <w:rPr>
          <w:rFonts w:asciiTheme="minorHAnsi" w:eastAsiaTheme="minorHAnsi" w:hAnsiTheme="minorHAnsi" w:cstheme="minorBidi"/>
          <w:i/>
          <w:color w:val="auto"/>
        </w:rPr>
        <w:t xml:space="preserve"> </w:t>
      </w:r>
      <w:r w:rsidR="00EC14AB">
        <w:rPr>
          <w:rFonts w:asciiTheme="minorHAnsi" w:eastAsiaTheme="minorHAnsi" w:hAnsiTheme="minorHAnsi" w:cstheme="minorBidi"/>
          <w:color w:val="auto"/>
        </w:rPr>
        <w:t>investment</w:t>
      </w:r>
      <w:r w:rsidR="001E2D49">
        <w:rPr>
          <w:rFonts w:asciiTheme="minorHAnsi" w:eastAsiaTheme="minorHAnsi" w:hAnsiTheme="minorHAnsi" w:cstheme="minorBidi"/>
          <w:color w:val="auto"/>
        </w:rPr>
        <w:t xml:space="preserve"> enable</w:t>
      </w:r>
      <w:r w:rsidR="00EC14AB">
        <w:rPr>
          <w:rFonts w:asciiTheme="minorHAnsi" w:eastAsiaTheme="minorHAnsi" w:hAnsiTheme="minorHAnsi" w:cstheme="minorBidi"/>
          <w:color w:val="auto"/>
        </w:rPr>
        <w:t>s</w:t>
      </w:r>
      <w:r w:rsidR="001E2D49">
        <w:rPr>
          <w:rFonts w:asciiTheme="minorHAnsi" w:eastAsiaTheme="minorHAnsi" w:hAnsiTheme="minorHAnsi" w:cstheme="minorBidi"/>
          <w:color w:val="auto"/>
        </w:rPr>
        <w:t xml:space="preserve">  the University to deliver</w:t>
      </w:r>
      <w:r w:rsidR="004D130D">
        <w:rPr>
          <w:rFonts w:asciiTheme="minorHAnsi" w:eastAsiaTheme="minorHAnsi" w:hAnsiTheme="minorHAnsi" w:cstheme="minorBidi"/>
          <w:color w:val="auto"/>
        </w:rPr>
        <w:t xml:space="preserve"> new activities.</w:t>
      </w:r>
    </w:p>
    <w:p w:rsidR="00424C1D" w:rsidRDefault="00424C1D" w:rsidP="00F41C2D">
      <w:pPr>
        <w:pStyle w:val="Heading5"/>
      </w:pPr>
      <w:r w:rsidRPr="00E96E1D">
        <w:t>Replacement Cycles</w:t>
      </w:r>
      <w:r>
        <w:t xml:space="preserve"> and KPIs</w:t>
      </w:r>
    </w:p>
    <w:p w:rsidR="00F41C2D" w:rsidRDefault="00F41C2D" w:rsidP="00F41C2D">
      <w:pPr>
        <w:pStyle w:val="Default"/>
        <w:spacing w:after="200"/>
        <w:rPr>
          <w:sz w:val="22"/>
          <w:szCs w:val="22"/>
        </w:rPr>
      </w:pPr>
      <w:r>
        <w:rPr>
          <w:sz w:val="22"/>
          <w:szCs w:val="22"/>
        </w:rPr>
        <w:t xml:space="preserve">The majority of the infrastructure investment is in </w:t>
      </w:r>
      <w:r>
        <w:rPr>
          <w:i/>
          <w:iCs/>
          <w:sz w:val="22"/>
          <w:szCs w:val="22"/>
        </w:rPr>
        <w:t>Run</w:t>
      </w:r>
      <w:r>
        <w:rPr>
          <w:sz w:val="22"/>
          <w:szCs w:val="22"/>
        </w:rPr>
        <w:t xml:space="preserve">, to provide stable environments on which services are delivered. It is necessary to invest in a rolling refresh programme for each of the infrastructure areas. This ensures that the infrastructure is maintainable and is compatible with the changing technology environment. Infrastructure which is beyond its maintainable life will </w:t>
      </w:r>
      <w:r w:rsidR="0063365F">
        <w:rPr>
          <w:sz w:val="22"/>
          <w:szCs w:val="22"/>
        </w:rPr>
        <w:t>no</w:t>
      </w:r>
      <w:r>
        <w:rPr>
          <w:sz w:val="22"/>
          <w:szCs w:val="22"/>
        </w:rPr>
        <w:t xml:space="preserve"> longer supported by its supplier; will fall behind in integrating with the changing technology environment and will be more prone to failure. </w:t>
      </w:r>
    </w:p>
    <w:p w:rsidR="00F41C2D" w:rsidRPr="00F95BC3" w:rsidRDefault="00F41C2D" w:rsidP="00F41C2D">
      <w:pPr>
        <w:rPr>
          <w:color w:val="auto"/>
        </w:rPr>
      </w:pPr>
      <w:r>
        <w:t>The refresh cycle is a combination of the expected useful life of the item and of the support provided by</w:t>
      </w:r>
      <w:r w:rsidR="00F95BC3">
        <w:t xml:space="preserve"> the supplier.    Detail of infrastructure </w:t>
      </w:r>
      <w:r>
        <w:t xml:space="preserve">replacement cycles is presented </w:t>
      </w:r>
      <w:r w:rsidRPr="00F95BC3">
        <w:t xml:space="preserve">in </w:t>
      </w:r>
      <w:r w:rsidRPr="00F95BC3">
        <w:rPr>
          <w:color w:val="auto"/>
        </w:rPr>
        <w:t xml:space="preserve">Appendix </w:t>
      </w:r>
      <w:r w:rsidR="00B23B32" w:rsidRPr="00F95BC3">
        <w:rPr>
          <w:color w:val="auto"/>
        </w:rPr>
        <w:t>F</w:t>
      </w:r>
      <w:r w:rsidRPr="00F95BC3">
        <w:rPr>
          <w:color w:val="auto"/>
        </w:rPr>
        <w:t>.</w:t>
      </w:r>
    </w:p>
    <w:p w:rsidR="00D43E8D" w:rsidRDefault="00D43E8D" w:rsidP="00424C1D">
      <w:pPr>
        <w:tabs>
          <w:tab w:val="clear" w:pos="720"/>
        </w:tabs>
        <w:suppressAutoHyphens w:val="0"/>
        <w:rPr>
          <w:rFonts w:asciiTheme="minorHAnsi" w:eastAsiaTheme="minorHAnsi" w:hAnsiTheme="minorHAnsi" w:cstheme="minorBidi"/>
          <w:color w:val="auto"/>
        </w:rPr>
      </w:pPr>
      <w:r w:rsidRPr="00D43E8D">
        <w:rPr>
          <w:rFonts w:asciiTheme="minorHAnsi" w:eastAsiaTheme="minorHAnsi" w:hAnsiTheme="minorHAnsi" w:cstheme="minorBidi"/>
          <w:color w:val="auto"/>
        </w:rPr>
        <w:t>Alongside the planned refresh cycle used to deliver a s</w:t>
      </w:r>
      <w:r w:rsidR="00F37D96">
        <w:rPr>
          <w:rFonts w:asciiTheme="minorHAnsi" w:eastAsiaTheme="minorHAnsi" w:hAnsiTheme="minorHAnsi" w:cstheme="minorBidi"/>
          <w:color w:val="auto"/>
        </w:rPr>
        <w:t xml:space="preserve">ound platform for IT services, </w:t>
      </w:r>
      <w:r w:rsidRPr="00D43E8D">
        <w:rPr>
          <w:rFonts w:asciiTheme="minorHAnsi" w:eastAsiaTheme="minorHAnsi" w:hAnsiTheme="minorHAnsi" w:cstheme="minorBidi"/>
          <w:color w:val="auto"/>
        </w:rPr>
        <w:t xml:space="preserve">a number of metrics are used to </w:t>
      </w:r>
      <w:r w:rsidR="00E84ECE">
        <w:rPr>
          <w:rFonts w:asciiTheme="minorHAnsi" w:eastAsiaTheme="minorHAnsi" w:hAnsiTheme="minorHAnsi" w:cstheme="minorBidi"/>
          <w:color w:val="auto"/>
        </w:rPr>
        <w:t xml:space="preserve">ensure that the infrastructure has sufficient capacity to meet needs. Much of the growth in the capacity required can be met as a result of the replacement cycles, new IT equipment invariably has a greater capacity/performance than the old equipment it replaces. However, the </w:t>
      </w:r>
      <w:r w:rsidR="00E84ECE">
        <w:rPr>
          <w:rFonts w:asciiTheme="minorHAnsi" w:eastAsiaTheme="minorHAnsi" w:hAnsiTheme="minorHAnsi" w:cstheme="minorBidi"/>
          <w:color w:val="auto"/>
        </w:rPr>
        <w:lastRenderedPageBreak/>
        <w:t>following metrics can be used to ensure that we have sufficient capability to meet growth which is not contained within the equipment replacement cycles.</w:t>
      </w:r>
      <w:r w:rsidRPr="00D43E8D">
        <w:rPr>
          <w:rFonts w:asciiTheme="minorHAnsi" w:eastAsiaTheme="minorHAnsi" w:hAnsiTheme="minorHAnsi" w:cstheme="minorBidi"/>
          <w:color w:val="auto"/>
        </w:rPr>
        <w:t xml:space="preserve"> </w:t>
      </w:r>
    </w:p>
    <w:p w:rsidR="002C7070" w:rsidRPr="00D43E8D" w:rsidRDefault="002C7070" w:rsidP="00424C1D">
      <w:pPr>
        <w:tabs>
          <w:tab w:val="clear" w:pos="720"/>
        </w:tabs>
        <w:suppressAutoHyphens w:val="0"/>
        <w:rPr>
          <w:rFonts w:asciiTheme="minorHAnsi" w:eastAsiaTheme="minorHAnsi" w:hAnsiTheme="minorHAnsi" w:cstheme="minorBidi"/>
          <w:color w:val="auto"/>
          <w:highlight w:val="yellow"/>
        </w:rPr>
      </w:pPr>
      <w:r>
        <w:rPr>
          <w:rFonts w:asciiTheme="minorHAnsi" w:eastAsiaTheme="minorHAnsi" w:hAnsiTheme="minorHAnsi" w:cstheme="minorBidi"/>
          <w:noProof/>
          <w:color w:val="FF0000"/>
          <w:sz w:val="144"/>
          <w:szCs w:val="144"/>
          <w:lang w:eastAsia="en-GB"/>
        </w:rPr>
        <w:drawing>
          <wp:inline distT="0" distB="0" distL="0" distR="0">
            <wp:extent cx="4239260" cy="3179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39260" cy="3179680"/>
                    </a:xfrm>
                    <a:prstGeom prst="rect">
                      <a:avLst/>
                    </a:prstGeom>
                  </pic:spPr>
                </pic:pic>
              </a:graphicData>
            </a:graphic>
          </wp:inline>
        </w:drawing>
      </w:r>
    </w:p>
    <w:p w:rsidR="00F37D96" w:rsidRDefault="00F37D96" w:rsidP="00424C1D">
      <w:pPr>
        <w:tabs>
          <w:tab w:val="clear" w:pos="720"/>
        </w:tabs>
        <w:suppressAutoHyphens w:val="0"/>
        <w:rPr>
          <w:rFonts w:asciiTheme="majorHAnsi" w:hAnsiTheme="majorHAnsi"/>
          <w:b/>
          <w:color w:val="548DD4" w:themeColor="text2" w:themeTint="99"/>
          <w:sz w:val="26"/>
          <w:szCs w:val="26"/>
        </w:rPr>
      </w:pPr>
      <w:r w:rsidRPr="00D43E8D">
        <w:rPr>
          <w:rFonts w:asciiTheme="minorHAnsi" w:eastAsiaTheme="minorHAnsi" w:hAnsiTheme="minorHAnsi" w:cstheme="minorBidi"/>
          <w:color w:val="auto"/>
        </w:rPr>
        <w:t>Capac</w:t>
      </w:r>
      <w:r>
        <w:rPr>
          <w:rFonts w:asciiTheme="minorHAnsi" w:eastAsiaTheme="minorHAnsi" w:hAnsiTheme="minorHAnsi" w:cstheme="minorBidi"/>
          <w:color w:val="auto"/>
        </w:rPr>
        <w:t xml:space="preserve">ity planning metrics ensure that the infrastructure has enough headroom to cope with expected growth; service availability metrics ensure that the underlying infrastructure is accessible when needed; efficiency metrics ensure the infrastructure is shaped to deliver best value; effectiveness metrics confirm if the services we are offering are being well used.  </w:t>
      </w:r>
      <w:r w:rsidR="00030B67">
        <w:rPr>
          <w:rFonts w:asciiTheme="minorHAnsi" w:eastAsiaTheme="minorHAnsi" w:hAnsiTheme="minorHAnsi" w:cstheme="minorBidi"/>
          <w:color w:val="auto"/>
        </w:rPr>
        <w:t xml:space="preserve">A fuller list of metrics is available in </w:t>
      </w:r>
      <w:r w:rsidRPr="00F95BC3">
        <w:rPr>
          <w:rFonts w:asciiTheme="minorHAnsi" w:eastAsiaTheme="minorHAnsi" w:hAnsiTheme="minorHAnsi" w:cstheme="minorBidi"/>
          <w:color w:val="auto"/>
        </w:rPr>
        <w:t>Appendix G.</w:t>
      </w:r>
    </w:p>
    <w:p w:rsidR="0038528E" w:rsidRDefault="0038528E">
      <w:pPr>
        <w:tabs>
          <w:tab w:val="clear" w:pos="720"/>
        </w:tabs>
        <w:suppressAutoHyphens w:val="0"/>
        <w:rPr>
          <w:rFonts w:asciiTheme="majorHAnsi" w:hAnsiTheme="majorHAnsi"/>
          <w:b/>
          <w:color w:val="548DD4" w:themeColor="text2" w:themeTint="99"/>
          <w:sz w:val="26"/>
          <w:szCs w:val="26"/>
        </w:rPr>
      </w:pPr>
      <w:r>
        <w:rPr>
          <w:rFonts w:asciiTheme="majorHAnsi" w:hAnsiTheme="majorHAnsi"/>
          <w:b/>
          <w:color w:val="548DD4" w:themeColor="text2" w:themeTint="99"/>
          <w:sz w:val="26"/>
          <w:szCs w:val="26"/>
        </w:rPr>
        <w:br w:type="page"/>
      </w:r>
    </w:p>
    <w:p w:rsidR="00424C1D" w:rsidRDefault="00424C1D" w:rsidP="00424C1D">
      <w:pPr>
        <w:tabs>
          <w:tab w:val="clear" w:pos="720"/>
        </w:tabs>
        <w:suppressAutoHyphens w:val="0"/>
        <w:rPr>
          <w:rFonts w:asciiTheme="majorHAnsi" w:hAnsiTheme="majorHAnsi"/>
          <w:b/>
          <w:color w:val="548DD4" w:themeColor="text2" w:themeTint="99"/>
          <w:sz w:val="26"/>
          <w:szCs w:val="26"/>
        </w:rPr>
      </w:pPr>
      <w:r w:rsidRPr="00CE0C30">
        <w:rPr>
          <w:rFonts w:asciiTheme="majorHAnsi" w:hAnsiTheme="majorHAnsi"/>
          <w:b/>
          <w:color w:val="548DD4" w:themeColor="text2" w:themeTint="99"/>
          <w:sz w:val="26"/>
          <w:szCs w:val="26"/>
        </w:rPr>
        <w:lastRenderedPageBreak/>
        <w:t>Roadmap</w:t>
      </w:r>
    </w:p>
    <w:p w:rsidR="006273F9" w:rsidRDefault="0038528E" w:rsidP="00424C1D">
      <w:pPr>
        <w:pStyle w:val="Textbody"/>
        <w:rPr>
          <w:color w:val="auto"/>
        </w:rPr>
      </w:pPr>
      <w:r>
        <w:rPr>
          <w:color w:val="auto"/>
        </w:rPr>
        <w:t>We have used our infrastructure domains a</w:t>
      </w:r>
      <w:r w:rsidR="005C1196">
        <w:rPr>
          <w:color w:val="auto"/>
        </w:rPr>
        <w:t>nd the run, grow, transform framework</w:t>
      </w:r>
      <w:r>
        <w:rPr>
          <w:color w:val="auto"/>
        </w:rPr>
        <w:t xml:space="preserve"> to cl</w:t>
      </w:r>
      <w:r w:rsidR="006273F9">
        <w:rPr>
          <w:color w:val="auto"/>
        </w:rPr>
        <w:t>assify</w:t>
      </w:r>
      <w:r>
        <w:rPr>
          <w:color w:val="auto"/>
        </w:rPr>
        <w:t xml:space="preserve"> activities that are required to deliver the roadmap for the next five years.</w:t>
      </w:r>
      <w:r w:rsidR="006273F9">
        <w:rPr>
          <w:color w:val="auto"/>
        </w:rPr>
        <w:t xml:space="preserve"> Through the review process the activities or projects have been discussed with the review group and with representatives of the Colleges and Support groups who prioritised the transformational projects. For each project there is an associated data sheet in Appendix </w:t>
      </w:r>
      <w:proofErr w:type="gramStart"/>
      <w:r w:rsidR="006273F9">
        <w:rPr>
          <w:color w:val="auto"/>
        </w:rPr>
        <w:t>A</w:t>
      </w:r>
      <w:proofErr w:type="gramEnd"/>
      <w:r w:rsidR="006273F9">
        <w:rPr>
          <w:color w:val="auto"/>
        </w:rPr>
        <w:t xml:space="preserve"> giving more details including </w:t>
      </w:r>
      <w:r w:rsidR="00DB02B1">
        <w:rPr>
          <w:color w:val="auto"/>
        </w:rPr>
        <w:t xml:space="preserve">investment needs.  This section presents the roadmap in the form of a timeline chart, strategy, the dependencies between activities, priorities and the investment </w:t>
      </w:r>
      <w:proofErr w:type="gramStart"/>
      <w:r w:rsidR="00DB02B1">
        <w:rPr>
          <w:color w:val="auto"/>
        </w:rPr>
        <w:t>required</w:t>
      </w:r>
      <w:r w:rsidR="006273F9">
        <w:rPr>
          <w:color w:val="auto"/>
        </w:rPr>
        <w:t xml:space="preserve"> </w:t>
      </w:r>
      <w:r w:rsidR="00DB02B1">
        <w:rPr>
          <w:color w:val="auto"/>
        </w:rPr>
        <w:t>.</w:t>
      </w:r>
      <w:proofErr w:type="gramEnd"/>
    </w:p>
    <w:p w:rsidR="00424C1D" w:rsidRPr="009C47A1" w:rsidRDefault="00424C1D" w:rsidP="00424C1D">
      <w:pPr>
        <w:pStyle w:val="Textbody"/>
        <w:rPr>
          <w:b/>
          <w:color w:val="4F81BD" w:themeColor="accent1"/>
          <w:sz w:val="26"/>
          <w:szCs w:val="26"/>
        </w:rPr>
      </w:pPr>
      <w:r w:rsidRPr="009C47A1">
        <w:rPr>
          <w:b/>
          <w:color w:val="4F81BD" w:themeColor="accent1"/>
          <w:sz w:val="26"/>
          <w:szCs w:val="26"/>
        </w:rPr>
        <w:t>Infrastructure Roadmap Timeline</w:t>
      </w:r>
    </w:p>
    <w:p w:rsidR="00424C1D" w:rsidRDefault="005C1196" w:rsidP="00424C1D">
      <w:pPr>
        <w:pStyle w:val="Textbody"/>
      </w:pPr>
      <w:r>
        <w:rPr>
          <w:noProof/>
          <w:lang w:eastAsia="en-GB"/>
        </w:rPr>
        <w:drawing>
          <wp:inline distT="0" distB="0" distL="0" distR="0">
            <wp:extent cx="5790983" cy="571826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99055" cy="5726234"/>
                    </a:xfrm>
                    <a:prstGeom prst="rect">
                      <a:avLst/>
                    </a:prstGeom>
                    <a:noFill/>
                    <a:ln>
                      <a:noFill/>
                    </a:ln>
                  </pic:spPr>
                </pic:pic>
              </a:graphicData>
            </a:graphic>
          </wp:inline>
        </w:drawing>
      </w:r>
    </w:p>
    <w:p w:rsidR="00CE369E" w:rsidRDefault="00CE369E">
      <w:pPr>
        <w:tabs>
          <w:tab w:val="clear" w:pos="720"/>
        </w:tabs>
        <w:suppressAutoHyphens w:val="0"/>
        <w:rPr>
          <w:rFonts w:ascii="Cambria" w:hAnsi="Cambria"/>
          <w:b/>
          <w:bCs/>
          <w:color w:val="4F81BD"/>
          <w:sz w:val="26"/>
          <w:szCs w:val="26"/>
        </w:rPr>
      </w:pPr>
      <w:r>
        <w:br w:type="page"/>
      </w:r>
    </w:p>
    <w:p w:rsidR="00DB02B1" w:rsidRDefault="00DB02B1" w:rsidP="00424C1D">
      <w:pPr>
        <w:pStyle w:val="Heading2"/>
        <w:numPr>
          <w:ilvl w:val="1"/>
          <w:numId w:val="2"/>
        </w:numPr>
      </w:pPr>
      <w:r>
        <w:lastRenderedPageBreak/>
        <w:t>Strategy</w:t>
      </w:r>
    </w:p>
    <w:p w:rsidR="009976C0" w:rsidRDefault="00860D59" w:rsidP="009976C0">
      <w:pPr>
        <w:pStyle w:val="Textbody"/>
      </w:pPr>
      <w:r>
        <w:t xml:space="preserve">The IT Infrastructure is a key enabler for the University’s goals of excellence in research and learning. </w:t>
      </w:r>
      <w:r w:rsidR="00420761">
        <w:t>We all recognise that without IT infrastructure these activities would be impossible and that a properly performing infrastructure becomes</w:t>
      </w:r>
      <w:r w:rsidR="00C072FF">
        <w:t xml:space="preserve"> almost</w:t>
      </w:r>
      <w:r w:rsidR="00420761">
        <w:t xml:space="preserve"> invisible. </w:t>
      </w:r>
      <w:r w:rsidR="00C072FF">
        <w:t xml:space="preserve">Key aims of the IT infrastructure strategy are to </w:t>
      </w:r>
    </w:p>
    <w:p w:rsidR="009976C0" w:rsidRDefault="00CB7E3D" w:rsidP="009976C0">
      <w:pPr>
        <w:pStyle w:val="Textbody"/>
        <w:numPr>
          <w:ilvl w:val="0"/>
          <w:numId w:val="27"/>
        </w:numPr>
      </w:pPr>
      <w:proofErr w:type="gramStart"/>
      <w:r>
        <w:t>Enable  a</w:t>
      </w:r>
      <w:proofErr w:type="gramEnd"/>
      <w:r>
        <w:t xml:space="preserve"> uniform service delivery across the estate so that user location does not materially disadvantage access to service.</w:t>
      </w:r>
    </w:p>
    <w:p w:rsidR="009976C0" w:rsidRDefault="00CB7E3D" w:rsidP="009976C0">
      <w:pPr>
        <w:pStyle w:val="Textbody"/>
        <w:numPr>
          <w:ilvl w:val="0"/>
          <w:numId w:val="27"/>
        </w:numPr>
      </w:pPr>
      <w:r>
        <w:t>De-duplication of service provision  to drive effectiveness (more sharing) and efficiency (economies of scale) and use of appropriate security standards</w:t>
      </w:r>
    </w:p>
    <w:p w:rsidR="009976C0" w:rsidRDefault="00CB7E3D" w:rsidP="009976C0">
      <w:pPr>
        <w:pStyle w:val="Textbody"/>
        <w:numPr>
          <w:ilvl w:val="0"/>
          <w:numId w:val="27"/>
        </w:numPr>
      </w:pPr>
      <w:r>
        <w:t>Support for new transformational activity.</w:t>
      </w:r>
    </w:p>
    <w:p w:rsidR="009976C0" w:rsidRDefault="00CB7E3D" w:rsidP="009976C0">
      <w:pPr>
        <w:pStyle w:val="Textbody"/>
        <w:ind w:left="360"/>
      </w:pPr>
      <w:r>
        <w:t>W</w:t>
      </w:r>
      <w:r w:rsidR="00420761">
        <w:t xml:space="preserve">e are going through a period of significant change as more of the business of the University is digitally delivered, this perhaps best </w:t>
      </w:r>
      <w:r w:rsidR="00A33959">
        <w:t>demonstrated</w:t>
      </w:r>
      <w:r w:rsidR="00420761">
        <w:t xml:space="preserve"> by the move to online learning, particularly at distance and the use of large data sets for research. </w:t>
      </w:r>
      <w:r>
        <w:t xml:space="preserve">Unless we transform our infrastructure to </w:t>
      </w:r>
      <w:r w:rsidR="00921161">
        <w:t>meet these needs we will fail to maximise our capability, will continue to duplicate activity and provide sub optimal user experiences.</w:t>
      </w:r>
    </w:p>
    <w:p w:rsidR="00674784" w:rsidRDefault="00A33959" w:rsidP="009976C0">
      <w:pPr>
        <w:pStyle w:val="Textbody"/>
        <w:ind w:left="360"/>
      </w:pPr>
      <w:r>
        <w:t xml:space="preserve">While the strategic links of a number of the proposed projects are self-evident: the central provision of Data Science services is obviously underpinning the University’s ambitions to be a world leader in Data Analytics, others are more nuanced.  </w:t>
      </w:r>
      <w:r w:rsidR="00350B2E">
        <w:t xml:space="preserve"> </w:t>
      </w:r>
    </w:p>
    <w:p w:rsidR="00674784" w:rsidRDefault="00350B2E" w:rsidP="009976C0">
      <w:pPr>
        <w:pStyle w:val="Textbody"/>
        <w:ind w:left="360"/>
      </w:pPr>
      <w:r>
        <w:t xml:space="preserve"> The ability to investigate correlations between large </w:t>
      </w:r>
      <w:r w:rsidR="00A4661A">
        <w:t>numbers</w:t>
      </w:r>
      <w:r>
        <w:t xml:space="preserve"> of data-sets </w:t>
      </w:r>
      <w:r w:rsidR="00674784">
        <w:t>is critical to Data Science.   Deficiencies in infrastructure which lead researchers to hold their data in local private infrastructure rather than in centralised data storage</w:t>
      </w:r>
      <w:proofErr w:type="gramStart"/>
      <w:r w:rsidR="00674784">
        <w:t>,  from</w:t>
      </w:r>
      <w:proofErr w:type="gramEnd"/>
      <w:r w:rsidR="00674784">
        <w:t xml:space="preserve"> which they can be shared and analysed, are barriers to Data Science.  The path from data to </w:t>
      </w:r>
      <w:proofErr w:type="gramStart"/>
      <w:r w:rsidR="00674784">
        <w:t>discovery,</w:t>
      </w:r>
      <w:proofErr w:type="gramEnd"/>
      <w:r w:rsidR="00674784">
        <w:t xml:space="preserve"> requires researchers to trust central infrastructure and so the fear of losing access to data through the loss of campus links inhibits the centralisation of data.  The project to “Extend Core Network” which provides resilient links to our major campuses addresses this issue, builds trust, and so supports Data Science activity.</w:t>
      </w:r>
    </w:p>
    <w:p w:rsidR="00A4661A" w:rsidRDefault="00A4661A" w:rsidP="007F107F">
      <w:pPr>
        <w:pStyle w:val="Textbody"/>
        <w:ind w:left="360"/>
      </w:pPr>
      <w:r>
        <w:t xml:space="preserve">The University’s ambitions for delivery digital education, and in particular </w:t>
      </w:r>
      <w:r w:rsidR="007F107F">
        <w:t>online distance education, are supported by projects which provide flexible access to University resources.  The “Apps to User Devices” project provides the mechanism to present learning applications to user devices any time, any place or any device.  A distance learner who needed access to a sophisticated modelling application would be provided with an interface to access this application running in a secure and well managed environment, rather than having to install and managed a complex software application on their own device.</w:t>
      </w:r>
    </w:p>
    <w:p w:rsidR="00C95ECC" w:rsidRDefault="00C95ECC" w:rsidP="007F107F">
      <w:pPr>
        <w:pStyle w:val="Textbody"/>
        <w:ind w:left="360"/>
      </w:pPr>
      <w:r>
        <w:t xml:space="preserve">The project data sheets presented in Appendix </w:t>
      </w:r>
      <w:proofErr w:type="gramStart"/>
      <w:r>
        <w:t>A</w:t>
      </w:r>
      <w:proofErr w:type="gramEnd"/>
      <w:r>
        <w:t xml:space="preserve"> show how each project is linked to the University’s strategy.</w:t>
      </w:r>
    </w:p>
    <w:p w:rsidR="00A4661A" w:rsidRDefault="00A4661A" w:rsidP="009976C0">
      <w:pPr>
        <w:pStyle w:val="Textbody"/>
        <w:ind w:left="360"/>
      </w:pPr>
    </w:p>
    <w:p w:rsidR="00424C1D" w:rsidRDefault="00424C1D" w:rsidP="00A4661A">
      <w:pPr>
        <w:pStyle w:val="Heading2"/>
        <w:numPr>
          <w:ilvl w:val="0"/>
          <w:numId w:val="0"/>
        </w:numPr>
      </w:pPr>
      <w:r>
        <w:t>Project Dependencies</w:t>
      </w:r>
    </w:p>
    <w:p w:rsidR="00860D59" w:rsidRDefault="00424C1D" w:rsidP="00424C1D">
      <w:pPr>
        <w:pStyle w:val="Textbody"/>
      </w:pPr>
      <w:r>
        <w:t xml:space="preserve">There is only one </w:t>
      </w:r>
      <w:r w:rsidR="00DB02B1">
        <w:t xml:space="preserve">true </w:t>
      </w:r>
      <w:r>
        <w:t xml:space="preserve">hard dependency </w:t>
      </w:r>
      <w:r w:rsidR="00DB02B1">
        <w:t>between the projects and that is</w:t>
      </w:r>
      <w:r w:rsidR="00860D59">
        <w:t>,</w:t>
      </w:r>
      <w:r w:rsidR="00DB02B1">
        <w:t xml:space="preserve"> we cannot progress the </w:t>
      </w:r>
      <w:r>
        <w:t xml:space="preserve">“Soft Phones” project </w:t>
      </w:r>
      <w:r w:rsidR="00DB02B1">
        <w:t xml:space="preserve">unless we have already engaged with the replacement of the </w:t>
      </w:r>
      <w:r>
        <w:t xml:space="preserve">analogue phone system with a VoIP system.  </w:t>
      </w:r>
      <w:r w:rsidR="00DB02B1">
        <w:t xml:space="preserve">However, there are a number of </w:t>
      </w:r>
      <w:r>
        <w:t>soft links between other projects</w:t>
      </w:r>
      <w:r w:rsidR="00860D59">
        <w:t xml:space="preserve">. In </w:t>
      </w:r>
      <w:r w:rsidR="00860D59">
        <w:lastRenderedPageBreak/>
        <w:t>these cases,</w:t>
      </w:r>
      <w:r>
        <w:t xml:space="preserve"> </w:t>
      </w:r>
      <w:r w:rsidR="00860D59">
        <w:t xml:space="preserve">each project can be progressed independently, however, benefits will be maximised by doing all of the connected projects, </w:t>
      </w:r>
      <w:proofErr w:type="gramStart"/>
      <w:r w:rsidR="00860D59">
        <w:t>i.e</w:t>
      </w:r>
      <w:proofErr w:type="gramEnd"/>
      <w:r w:rsidR="00860D59">
        <w:t xml:space="preserve">. the overall impact is greater than the sum of the parts. </w:t>
      </w:r>
    </w:p>
    <w:p w:rsidR="00674784" w:rsidRDefault="00860D59" w:rsidP="00424C1D">
      <w:pPr>
        <w:pStyle w:val="Textbody"/>
      </w:pPr>
      <w:r>
        <w:t xml:space="preserve">A good example of this </w:t>
      </w:r>
      <w:r w:rsidR="00A4661A">
        <w:t>is the link between</w:t>
      </w:r>
      <w:r w:rsidR="00674784">
        <w:t xml:space="preserve"> </w:t>
      </w:r>
      <w:r w:rsidR="00AF070F">
        <w:t>“Desktop Virtualisation” and</w:t>
      </w:r>
      <w:r w:rsidR="00A4661A">
        <w:t xml:space="preserve"> “Data Science Services”.   Desktop virtualisation allows the desktop environment to be run in a well-protected data centre environment.  This secure cordon permits flexible user access to sensitive research data which cannot be shared to the standard physical desktops across the University.  </w:t>
      </w:r>
    </w:p>
    <w:p w:rsidR="00AF070F" w:rsidRDefault="00424C1D" w:rsidP="00424C1D">
      <w:pPr>
        <w:pStyle w:val="Textbody"/>
      </w:pPr>
      <w:r>
        <w:t xml:space="preserve">The following chart shows the </w:t>
      </w:r>
      <w:r w:rsidR="00860D59">
        <w:t>dependencies</w:t>
      </w:r>
      <w:r>
        <w:t xml:space="preserve"> between projects.</w:t>
      </w:r>
    </w:p>
    <w:p w:rsidR="00424C1D" w:rsidRPr="009C47A1" w:rsidRDefault="00424C1D" w:rsidP="00424C1D">
      <w:pPr>
        <w:pStyle w:val="Textbody"/>
        <w:rPr>
          <w:b/>
          <w:color w:val="4F81BD" w:themeColor="accent1"/>
          <w:sz w:val="26"/>
          <w:szCs w:val="26"/>
        </w:rPr>
      </w:pPr>
      <w:r w:rsidRPr="009C47A1">
        <w:rPr>
          <w:b/>
          <w:color w:val="4F81BD" w:themeColor="accent1"/>
          <w:sz w:val="26"/>
          <w:szCs w:val="26"/>
        </w:rPr>
        <w:t xml:space="preserve">Infrastructure Roadmap </w:t>
      </w:r>
      <w:r>
        <w:rPr>
          <w:b/>
          <w:color w:val="4F81BD" w:themeColor="accent1"/>
          <w:sz w:val="26"/>
          <w:szCs w:val="26"/>
        </w:rPr>
        <w:t>Project Dependencies</w:t>
      </w:r>
    </w:p>
    <w:p w:rsidR="00424C1D" w:rsidRDefault="00AF070F" w:rsidP="00424C1D">
      <w:pPr>
        <w:pStyle w:val="Textbody"/>
      </w:pPr>
      <w:r>
        <w:object w:dxaOrig="13147" w:dyaOrig="12982" w14:anchorId="4480A27D">
          <v:shape id="_x0000_i1028" type="#_x0000_t75" style="width:450.8pt;height:445.15pt" o:ole="">
            <v:imagedata r:id="rId21" o:title=""/>
          </v:shape>
          <o:OLEObject Type="Embed" ProgID="Visio.Drawing.11" ShapeID="_x0000_i1028" DrawAspect="Content" ObjectID="_1486373911" r:id="rId22"/>
        </w:object>
      </w:r>
    </w:p>
    <w:p w:rsidR="00424C1D" w:rsidRDefault="00424C1D" w:rsidP="00424C1D">
      <w:pPr>
        <w:pStyle w:val="Heading2"/>
        <w:numPr>
          <w:ilvl w:val="1"/>
          <w:numId w:val="2"/>
        </w:numPr>
      </w:pPr>
      <w:r>
        <w:t>Priorities</w:t>
      </w:r>
    </w:p>
    <w:p w:rsidR="00B77B7D" w:rsidRPr="00B77B7D" w:rsidRDefault="00B77B7D" w:rsidP="00B77B7D">
      <w:pPr>
        <w:pStyle w:val="Textbody"/>
      </w:pPr>
    </w:p>
    <w:p w:rsidR="00B77B7D" w:rsidRPr="003E35B2" w:rsidRDefault="00424C1D" w:rsidP="00424C1D">
      <w:pPr>
        <w:pStyle w:val="Textbody"/>
      </w:pPr>
      <w:r w:rsidRPr="003E35B2">
        <w:t>The highest priority is to secure the Run activities which include the areas of technical debt in the edge network; and the need to replace the analogue telephone system</w:t>
      </w:r>
    </w:p>
    <w:p w:rsidR="00424C1D" w:rsidRPr="003E35B2" w:rsidRDefault="00424C1D" w:rsidP="00424C1D">
      <w:pPr>
        <w:pStyle w:val="Textbody"/>
      </w:pPr>
      <w:r w:rsidRPr="003E35B2">
        <w:lastRenderedPageBreak/>
        <w:t>We rank the Grow activity above doing Transform activity. There is, however, uncertainty about the scale of the changes that will be needed to keep pace with the growth in the University’s business, because the predictions of University growth are themselves to some extent uncertain.  It is essential that we keep pace with change in the University, and therefore we have identified the activities and the scale of the changes that we believe are appropriate. However, it is to be expected that the Grow activities will shift and will need to be revisited regularly.</w:t>
      </w:r>
    </w:p>
    <w:p w:rsidR="00424C1D" w:rsidRPr="003E35B2" w:rsidRDefault="00424C1D" w:rsidP="00424C1D">
      <w:pPr>
        <w:pStyle w:val="Textbody"/>
      </w:pPr>
      <w:r w:rsidRPr="003E35B2">
        <w:t xml:space="preserve">We asked </w:t>
      </w:r>
      <w:r w:rsidR="00B77B7D" w:rsidRPr="003E35B2">
        <w:t>the</w:t>
      </w:r>
      <w:r w:rsidRPr="003E35B2">
        <w:t xml:space="preserve"> College </w:t>
      </w:r>
      <w:r w:rsidR="00B77B7D" w:rsidRPr="003E35B2">
        <w:t xml:space="preserve">and Support Group </w:t>
      </w:r>
      <w:r w:rsidRPr="003E35B2">
        <w:t>representative</w:t>
      </w:r>
      <w:r w:rsidR="00B77B7D" w:rsidRPr="003E35B2">
        <w:t>s</w:t>
      </w:r>
      <w:r w:rsidRPr="003E35B2">
        <w:t xml:space="preserve"> on the group to prioritise the Transform projects. The following table shows the rank of the projects determined by totalling the</w:t>
      </w:r>
      <w:r w:rsidR="00B77B7D" w:rsidRPr="003E35B2">
        <w:t xml:space="preserve"> rankings of the Colleges and Support Groups</w:t>
      </w:r>
      <w:r w:rsidRPr="003E35B2">
        <w:t>, where 1 is the highest priority.</w:t>
      </w:r>
    </w:p>
    <w:tbl>
      <w:tblPr>
        <w:tblW w:w="8870" w:type="dxa"/>
        <w:tblInd w:w="93" w:type="dxa"/>
        <w:tblLook w:val="04A0" w:firstRow="1" w:lastRow="0" w:firstColumn="1" w:lastColumn="0" w:noHBand="0" w:noVBand="1"/>
      </w:tblPr>
      <w:tblGrid>
        <w:gridCol w:w="795"/>
        <w:gridCol w:w="2527"/>
        <w:gridCol w:w="777"/>
        <w:gridCol w:w="795"/>
        <w:gridCol w:w="795"/>
        <w:gridCol w:w="795"/>
        <w:gridCol w:w="795"/>
        <w:gridCol w:w="796"/>
        <w:gridCol w:w="795"/>
      </w:tblGrid>
      <w:tr w:rsidR="00B77B7D" w:rsidRPr="00B77B7D" w:rsidTr="00F95BC3">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rPr>
                <w:rFonts w:eastAsia="Times New Roman" w:cs="Times New Roman"/>
                <w:b/>
                <w:bCs/>
                <w:color w:val="auto"/>
                <w:lang w:eastAsia="zh-CN"/>
              </w:rPr>
            </w:pPr>
            <w:r w:rsidRPr="00B77B7D">
              <w:rPr>
                <w:rFonts w:eastAsia="Times New Roman" w:cs="Times New Roman"/>
                <w:b/>
                <w:bCs/>
                <w:color w:val="auto"/>
                <w:lang w:eastAsia="zh-CN"/>
              </w:rPr>
              <w:t>Rank</w:t>
            </w:r>
          </w:p>
        </w:tc>
        <w:tc>
          <w:tcPr>
            <w:tcW w:w="2527" w:type="dxa"/>
            <w:tcBorders>
              <w:top w:val="single" w:sz="4" w:space="0" w:color="auto"/>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rPr>
                <w:rFonts w:eastAsia="Times New Roman" w:cs="Times New Roman"/>
                <w:b/>
                <w:bCs/>
                <w:color w:val="auto"/>
                <w:lang w:eastAsia="zh-CN"/>
              </w:rPr>
            </w:pPr>
            <w:r w:rsidRPr="00B77B7D">
              <w:rPr>
                <w:rFonts w:eastAsia="Times New Roman" w:cs="Times New Roman"/>
                <w:b/>
                <w:bCs/>
                <w:color w:val="auto"/>
                <w:lang w:eastAsia="zh-CN"/>
              </w:rPr>
              <w:t>Transform Projects</w:t>
            </w:r>
          </w:p>
        </w:tc>
        <w:tc>
          <w:tcPr>
            <w:tcW w:w="4753" w:type="dxa"/>
            <w:gridSpan w:val="6"/>
            <w:tcBorders>
              <w:top w:val="single" w:sz="4" w:space="0" w:color="auto"/>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center"/>
              <w:rPr>
                <w:rFonts w:eastAsia="Times New Roman" w:cs="Times New Roman"/>
                <w:b/>
                <w:bCs/>
                <w:color w:val="auto"/>
                <w:lang w:eastAsia="zh-CN"/>
              </w:rPr>
            </w:pPr>
            <w:r w:rsidRPr="00B77B7D">
              <w:rPr>
                <w:rFonts w:eastAsia="Times New Roman" w:cs="Times New Roman"/>
                <w:b/>
                <w:bCs/>
                <w:color w:val="auto"/>
                <w:lang w:eastAsia="zh-CN"/>
              </w:rPr>
              <w:t>Rankings</w:t>
            </w:r>
          </w:p>
        </w:tc>
        <w:tc>
          <w:tcPr>
            <w:tcW w:w="795" w:type="dxa"/>
            <w:tcBorders>
              <w:top w:val="single" w:sz="4" w:space="0" w:color="auto"/>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right"/>
              <w:rPr>
                <w:rFonts w:eastAsia="Times New Roman" w:cs="Times New Roman"/>
                <w:b/>
                <w:bCs/>
                <w:color w:val="auto"/>
                <w:lang w:eastAsia="zh-CN"/>
              </w:rPr>
            </w:pPr>
            <w:r w:rsidRPr="00B77B7D">
              <w:rPr>
                <w:rFonts w:eastAsia="Times New Roman" w:cs="Times New Roman"/>
                <w:b/>
                <w:bCs/>
                <w:color w:val="auto"/>
                <w:lang w:eastAsia="zh-CN"/>
              </w:rPr>
              <w:t>Total</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rPr>
                <w:rFonts w:eastAsia="Times New Roman" w:cs="Times New Roman"/>
                <w:b/>
                <w:bCs/>
                <w:color w:val="auto"/>
                <w:lang w:eastAsia="zh-CN"/>
              </w:rPr>
            </w:pPr>
            <w:r w:rsidRPr="00B77B7D">
              <w:rPr>
                <w:rFonts w:eastAsia="Times New Roman" w:cs="Times New Roman"/>
                <w:b/>
                <w:bCs/>
                <w:color w:val="auto"/>
                <w:lang w:eastAsia="zh-CN"/>
              </w:rPr>
              <w:t> </w:t>
            </w:r>
          </w:p>
        </w:tc>
        <w:tc>
          <w:tcPr>
            <w:tcW w:w="2527"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rPr>
                <w:rFonts w:eastAsia="Times New Roman" w:cs="Times New Roman"/>
                <w:b/>
                <w:bCs/>
                <w:color w:val="auto"/>
                <w:lang w:eastAsia="zh-CN"/>
              </w:rPr>
            </w:pPr>
            <w:r w:rsidRPr="00B77B7D">
              <w:rPr>
                <w:rFonts w:eastAsia="Times New Roman" w:cs="Times New Roman"/>
                <w:b/>
                <w:bCs/>
                <w:color w:val="auto"/>
                <w:lang w:eastAsia="zh-CN"/>
              </w:rPr>
              <w:t> </w:t>
            </w:r>
          </w:p>
        </w:tc>
        <w:tc>
          <w:tcPr>
            <w:tcW w:w="777"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center"/>
              <w:rPr>
                <w:rFonts w:eastAsia="Times New Roman" w:cs="Times New Roman"/>
                <w:b/>
                <w:bCs/>
                <w:color w:val="auto"/>
                <w:lang w:eastAsia="zh-CN"/>
              </w:rPr>
            </w:pPr>
            <w:r w:rsidRPr="00B77B7D">
              <w:rPr>
                <w:rFonts w:eastAsia="Times New Roman" w:cs="Times New Roman"/>
                <w:b/>
                <w:bCs/>
                <w:color w:val="auto"/>
                <w:lang w:eastAsia="zh-CN"/>
              </w:rPr>
              <w:t>SCE</w:t>
            </w:r>
          </w:p>
        </w:tc>
        <w:tc>
          <w:tcPr>
            <w:tcW w:w="795"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center"/>
              <w:rPr>
                <w:rFonts w:eastAsia="Times New Roman" w:cs="Times New Roman"/>
                <w:b/>
                <w:bCs/>
                <w:color w:val="auto"/>
                <w:lang w:eastAsia="zh-CN"/>
              </w:rPr>
            </w:pPr>
            <w:r w:rsidRPr="00B77B7D">
              <w:rPr>
                <w:rFonts w:eastAsia="Times New Roman" w:cs="Times New Roman"/>
                <w:b/>
                <w:bCs/>
                <w:color w:val="auto"/>
                <w:lang w:eastAsia="zh-CN"/>
              </w:rPr>
              <w:t>HSS</w:t>
            </w:r>
          </w:p>
        </w:tc>
        <w:tc>
          <w:tcPr>
            <w:tcW w:w="795"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center"/>
              <w:rPr>
                <w:rFonts w:eastAsia="Times New Roman" w:cs="Times New Roman"/>
                <w:b/>
                <w:bCs/>
                <w:color w:val="auto"/>
                <w:lang w:eastAsia="zh-CN"/>
              </w:rPr>
            </w:pPr>
            <w:r w:rsidRPr="00B77B7D">
              <w:rPr>
                <w:rFonts w:eastAsia="Times New Roman" w:cs="Times New Roman"/>
                <w:b/>
                <w:bCs/>
                <w:color w:val="auto"/>
                <w:lang w:eastAsia="zh-CN"/>
              </w:rPr>
              <w:t>MVM</w:t>
            </w:r>
          </w:p>
        </w:tc>
        <w:tc>
          <w:tcPr>
            <w:tcW w:w="795"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center"/>
              <w:rPr>
                <w:rFonts w:eastAsia="Times New Roman" w:cs="Times New Roman"/>
                <w:b/>
                <w:bCs/>
                <w:color w:val="auto"/>
                <w:lang w:eastAsia="zh-CN"/>
              </w:rPr>
            </w:pPr>
            <w:r w:rsidRPr="00B77B7D">
              <w:rPr>
                <w:rFonts w:eastAsia="Times New Roman" w:cs="Times New Roman"/>
                <w:b/>
                <w:bCs/>
                <w:color w:val="auto"/>
                <w:lang w:eastAsia="zh-CN"/>
              </w:rPr>
              <w:t>IS</w:t>
            </w:r>
            <w:r>
              <w:rPr>
                <w:rFonts w:eastAsia="Times New Roman" w:cs="Times New Roman"/>
                <w:b/>
                <w:bCs/>
                <w:color w:val="auto"/>
                <w:lang w:eastAsia="zh-CN"/>
              </w:rPr>
              <w:t>G</w:t>
            </w:r>
          </w:p>
        </w:tc>
        <w:tc>
          <w:tcPr>
            <w:tcW w:w="795"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center"/>
              <w:rPr>
                <w:rFonts w:eastAsia="Times New Roman" w:cs="Times New Roman"/>
                <w:b/>
                <w:bCs/>
                <w:color w:val="auto"/>
                <w:lang w:eastAsia="zh-CN"/>
              </w:rPr>
            </w:pPr>
            <w:r w:rsidRPr="00B77B7D">
              <w:rPr>
                <w:rFonts w:eastAsia="Times New Roman" w:cs="Times New Roman"/>
                <w:b/>
                <w:bCs/>
                <w:color w:val="auto"/>
                <w:lang w:eastAsia="zh-CN"/>
              </w:rPr>
              <w:t>USG</w:t>
            </w:r>
          </w:p>
        </w:tc>
        <w:tc>
          <w:tcPr>
            <w:tcW w:w="795"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center"/>
              <w:rPr>
                <w:rFonts w:eastAsia="Times New Roman" w:cs="Times New Roman"/>
                <w:b/>
                <w:bCs/>
                <w:color w:val="auto"/>
                <w:lang w:eastAsia="zh-CN"/>
              </w:rPr>
            </w:pPr>
            <w:r w:rsidRPr="00B77B7D">
              <w:rPr>
                <w:rFonts w:eastAsia="Times New Roman" w:cs="Times New Roman"/>
                <w:b/>
                <w:bCs/>
                <w:color w:val="auto"/>
                <w:lang w:eastAsia="zh-CN"/>
              </w:rPr>
              <w:t>CSG</w:t>
            </w:r>
          </w:p>
        </w:tc>
        <w:tc>
          <w:tcPr>
            <w:tcW w:w="795" w:type="dxa"/>
            <w:tcBorders>
              <w:top w:val="nil"/>
              <w:left w:val="nil"/>
              <w:bottom w:val="single" w:sz="4" w:space="0" w:color="auto"/>
              <w:right w:val="single" w:sz="4" w:space="0" w:color="auto"/>
            </w:tcBorders>
            <w:shd w:val="clear" w:color="auto" w:fill="auto"/>
            <w:noWrap/>
            <w:hideMark/>
          </w:tcPr>
          <w:p w:rsidR="00B77B7D" w:rsidRPr="00B77B7D" w:rsidRDefault="00B77B7D" w:rsidP="00F95BC3">
            <w:pPr>
              <w:tabs>
                <w:tab w:val="clear" w:pos="720"/>
              </w:tabs>
              <w:suppressAutoHyphens w:val="0"/>
              <w:spacing w:after="0" w:line="240" w:lineRule="auto"/>
              <w:jc w:val="right"/>
              <w:rPr>
                <w:rFonts w:eastAsia="Times New Roman" w:cs="Times New Roman"/>
                <w:b/>
                <w:bCs/>
                <w:color w:val="auto"/>
                <w:lang w:eastAsia="zh-CN"/>
              </w:rPr>
            </w:pPr>
            <w:r w:rsidRPr="00B77B7D">
              <w:rPr>
                <w:rFonts w:eastAsia="Times New Roman" w:cs="Times New Roman"/>
                <w:b/>
                <w:bCs/>
                <w:color w:val="auto"/>
                <w:lang w:eastAsia="zh-CN"/>
              </w:rPr>
              <w:t> </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Apps to user devices</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11</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2</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Desktop virtualisation</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2</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2</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15</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Data Science Services</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auto"/>
                <w:lang w:eastAsia="zh-CN"/>
              </w:rPr>
            </w:pPr>
            <w:r w:rsidRPr="00B77B7D">
              <w:rPr>
                <w:rFonts w:eastAsia="Times New Roman" w:cs="Times New Roman"/>
                <w:color w:val="auto"/>
                <w:lang w:eastAsia="zh-CN"/>
              </w:rPr>
              <w:t>1</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auto"/>
                <w:lang w:eastAsia="zh-CN"/>
              </w:rPr>
            </w:pPr>
            <w:r w:rsidRPr="00B77B7D">
              <w:rPr>
                <w:rFonts w:eastAsia="Times New Roman" w:cs="Times New Roman"/>
                <w:color w:val="auto"/>
                <w:lang w:eastAsia="zh-CN"/>
              </w:rPr>
              <w:t>6</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auto"/>
                <w:lang w:eastAsia="zh-CN"/>
              </w:rPr>
            </w:pPr>
            <w:r w:rsidRPr="00B77B7D">
              <w:rPr>
                <w:rFonts w:eastAsia="Times New Roman" w:cs="Times New Roman"/>
                <w:color w:val="auto"/>
                <w:lang w:eastAsia="zh-CN"/>
              </w:rPr>
              <w:t>2</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auto"/>
                <w:lang w:eastAsia="zh-CN"/>
              </w:rPr>
            </w:pPr>
            <w:r w:rsidRPr="00B77B7D">
              <w:rPr>
                <w:rFonts w:eastAsia="Times New Roman" w:cs="Times New Roman"/>
                <w:color w:val="auto"/>
                <w:lang w:eastAsia="zh-CN"/>
              </w:rPr>
              <w:t>1</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auto"/>
                <w:lang w:eastAsia="zh-CN"/>
              </w:rPr>
            </w:pPr>
            <w:r w:rsidRPr="00B77B7D">
              <w:rPr>
                <w:rFonts w:eastAsia="Times New Roman" w:cs="Times New Roman"/>
                <w:color w:val="auto"/>
                <w:lang w:eastAsia="zh-CN"/>
              </w:rPr>
              <w:t>5</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auto"/>
                <w:lang w:eastAsia="zh-CN"/>
              </w:rPr>
            </w:pPr>
            <w:r w:rsidRPr="00B77B7D">
              <w:rPr>
                <w:rFonts w:eastAsia="Times New Roman" w:cs="Times New Roman"/>
                <w:color w:val="auto"/>
                <w:lang w:eastAsia="zh-CN"/>
              </w:rPr>
              <w:t>2</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17</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Private Cloud Provisioning</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2</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21</w:t>
            </w:r>
          </w:p>
        </w:tc>
      </w:tr>
      <w:tr w:rsidR="00B77B7D" w:rsidRPr="00B77B7D" w:rsidTr="00F95BC3">
        <w:trPr>
          <w:trHeight w:val="63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5</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 xml:space="preserve">Increase </w:t>
            </w:r>
            <w:proofErr w:type="spellStart"/>
            <w:r w:rsidRPr="00B77B7D">
              <w:rPr>
                <w:rFonts w:eastAsia="Times New Roman" w:cs="Times New Roman"/>
                <w:color w:val="000000"/>
                <w:lang w:eastAsia="zh-CN"/>
              </w:rPr>
              <w:t>Wifi</w:t>
            </w:r>
            <w:proofErr w:type="spellEnd"/>
            <w:r w:rsidRPr="00B77B7D">
              <w:rPr>
                <w:rFonts w:eastAsia="Times New Roman" w:cs="Times New Roman"/>
                <w:color w:val="000000"/>
                <w:lang w:eastAsia="zh-CN"/>
              </w:rPr>
              <w:t xml:space="preserve"> density to meet hotspot needs</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5</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5</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5</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5</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26</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6</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Provide soft phone clients</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7</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8</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6</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6</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6</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6</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39</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7</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Unified communications</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6</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7</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7</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7</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7</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7</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41</w:t>
            </w:r>
          </w:p>
        </w:tc>
      </w:tr>
      <w:tr w:rsidR="00B77B7D" w:rsidRPr="00B77B7D" w:rsidTr="00F95BC3">
        <w:trPr>
          <w:trHeight w:val="3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8</w:t>
            </w:r>
          </w:p>
        </w:tc>
        <w:tc>
          <w:tcPr>
            <w:tcW w:w="252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rPr>
                <w:rFonts w:eastAsia="Times New Roman" w:cs="Times New Roman"/>
                <w:color w:val="000000"/>
                <w:lang w:eastAsia="zh-CN"/>
              </w:rPr>
            </w:pPr>
            <w:r w:rsidRPr="00B77B7D">
              <w:rPr>
                <w:rFonts w:eastAsia="Times New Roman" w:cs="Times New Roman"/>
                <w:color w:val="000000"/>
                <w:lang w:eastAsia="zh-CN"/>
              </w:rPr>
              <w:t>External Wireless</w:t>
            </w:r>
          </w:p>
        </w:tc>
        <w:tc>
          <w:tcPr>
            <w:tcW w:w="777"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8</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5</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8</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8</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8</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8</w:t>
            </w:r>
          </w:p>
        </w:tc>
        <w:tc>
          <w:tcPr>
            <w:tcW w:w="795" w:type="dxa"/>
            <w:tcBorders>
              <w:top w:val="nil"/>
              <w:left w:val="nil"/>
              <w:bottom w:val="single" w:sz="4" w:space="0" w:color="auto"/>
              <w:right w:val="single" w:sz="4" w:space="0" w:color="auto"/>
            </w:tcBorders>
            <w:shd w:val="clear" w:color="auto" w:fill="auto"/>
            <w:vAlign w:val="center"/>
            <w:hideMark/>
          </w:tcPr>
          <w:p w:rsidR="00B77B7D" w:rsidRPr="00B77B7D" w:rsidRDefault="00B77B7D" w:rsidP="00F95BC3">
            <w:pPr>
              <w:tabs>
                <w:tab w:val="clear" w:pos="720"/>
              </w:tabs>
              <w:suppressAutoHyphens w:val="0"/>
              <w:spacing w:after="0" w:line="240" w:lineRule="auto"/>
              <w:jc w:val="right"/>
              <w:rPr>
                <w:rFonts w:eastAsia="Times New Roman" w:cs="Times New Roman"/>
                <w:color w:val="000000"/>
                <w:lang w:eastAsia="zh-CN"/>
              </w:rPr>
            </w:pPr>
            <w:r w:rsidRPr="00B77B7D">
              <w:rPr>
                <w:rFonts w:eastAsia="Times New Roman" w:cs="Times New Roman"/>
                <w:color w:val="000000"/>
                <w:lang w:eastAsia="zh-CN"/>
              </w:rPr>
              <w:t>45</w:t>
            </w:r>
          </w:p>
        </w:tc>
      </w:tr>
    </w:tbl>
    <w:p w:rsidR="00B77B7D" w:rsidRDefault="00B77B7D" w:rsidP="00424C1D">
      <w:pPr>
        <w:pStyle w:val="Textbody"/>
        <w:rPr>
          <w:highlight w:val="yellow"/>
        </w:rPr>
      </w:pPr>
    </w:p>
    <w:p w:rsidR="00030B67" w:rsidRPr="003E35B2" w:rsidRDefault="00030B67" w:rsidP="00030B67">
      <w:pPr>
        <w:pStyle w:val="Textbody"/>
      </w:pPr>
      <w:r w:rsidRPr="003E35B2">
        <w:t>With such a small number of elements to rank it is difficult to draw conclusions from this scoring but two things are clear: that there is a difference in the prioritisation of these projects across the University and that there is a relationship between a project’s rank and its immediacy.</w:t>
      </w:r>
    </w:p>
    <w:p w:rsidR="00030B67" w:rsidRPr="003E35B2" w:rsidRDefault="00030B67" w:rsidP="00030B67">
      <w:pPr>
        <w:pStyle w:val="Textbody"/>
      </w:pPr>
      <w:r w:rsidRPr="003E35B2">
        <w:t>Each College or Support Groups top priority project is ranked at most 4</w:t>
      </w:r>
      <w:r w:rsidRPr="003E35B2">
        <w:rPr>
          <w:vertAlign w:val="superscript"/>
        </w:rPr>
        <w:t>th</w:t>
      </w:r>
      <w:r w:rsidRPr="003E35B2">
        <w:t xml:space="preserve"> by another group, and if we wanted to implement each unit’s top three projects we would need to implement the top five.</w:t>
      </w:r>
    </w:p>
    <w:p w:rsidR="00030B67" w:rsidRPr="003E35B2" w:rsidRDefault="00030B67" w:rsidP="00030B67">
      <w:pPr>
        <w:pStyle w:val="Textbody"/>
      </w:pPr>
      <w:r w:rsidRPr="003E35B2">
        <w:t>Projects which are scheduled earlier in the roadmap are seen as higher priority.  This is likely due to their need being more pressing.  The appetite for implementing the later projects may change as these technologies become more common place or indeed more important ideas may emerge.</w:t>
      </w:r>
    </w:p>
    <w:p w:rsidR="00030B67" w:rsidRPr="003E35B2" w:rsidRDefault="00030B67" w:rsidP="00030B67">
      <w:pPr>
        <w:pStyle w:val="Textbody"/>
      </w:pPr>
      <w:r w:rsidRPr="003E35B2">
        <w:t>As a consequence of this analysis we decided not to take any projects out of the roadmap. We reflected that retaining flexibility was important for those projects falling later in the roadmap schedule. This will allow us to: take new opportunities; deal with changing costs, views of priorities or changing technology.  We need to keep an envelope of expected investment to deal with the difficulty of seeing further into the future. By retaining these projects we have provided that envelope.</w:t>
      </w:r>
    </w:p>
    <w:p w:rsidR="00030B67" w:rsidRDefault="00030B67" w:rsidP="00424C1D">
      <w:pPr>
        <w:pStyle w:val="Textbody"/>
        <w:rPr>
          <w:highlight w:val="yellow"/>
        </w:rPr>
      </w:pPr>
    </w:p>
    <w:p w:rsidR="00424C1D" w:rsidRPr="00EF689D" w:rsidRDefault="00424C1D" w:rsidP="00424C1D">
      <w:pPr>
        <w:keepNext/>
        <w:keepLines/>
        <w:numPr>
          <w:ilvl w:val="1"/>
          <w:numId w:val="2"/>
        </w:numPr>
        <w:spacing w:before="200" w:after="0"/>
        <w:outlineLvl w:val="1"/>
        <w:rPr>
          <w:rFonts w:ascii="Cambria" w:hAnsi="Cambria"/>
          <w:b/>
          <w:bCs/>
          <w:color w:val="4F81BD"/>
          <w:sz w:val="26"/>
          <w:szCs w:val="26"/>
        </w:rPr>
      </w:pPr>
      <w:r w:rsidRPr="00EF689D">
        <w:rPr>
          <w:rFonts w:ascii="Cambria" w:hAnsi="Cambria"/>
          <w:b/>
          <w:bCs/>
          <w:color w:val="4F81BD"/>
          <w:sz w:val="26"/>
          <w:szCs w:val="26"/>
        </w:rPr>
        <w:lastRenderedPageBreak/>
        <w:t>Investment</w:t>
      </w:r>
    </w:p>
    <w:p w:rsidR="00424C1D" w:rsidRPr="00EF689D" w:rsidRDefault="00424C1D" w:rsidP="00424C1D">
      <w:pPr>
        <w:spacing w:after="120"/>
        <w:rPr>
          <w:color w:val="auto"/>
        </w:rPr>
      </w:pPr>
      <w:r w:rsidRPr="00EF689D">
        <w:rPr>
          <w:color w:val="auto"/>
        </w:rPr>
        <w:t>The investment level</w:t>
      </w:r>
      <w:r>
        <w:rPr>
          <w:color w:val="auto"/>
        </w:rPr>
        <w:t>s</w:t>
      </w:r>
      <w:r w:rsidRPr="00EF689D">
        <w:rPr>
          <w:color w:val="auto"/>
        </w:rPr>
        <w:t xml:space="preserve"> recommended to maintain and develop the IT infrastructure over the next 5 years </w:t>
      </w:r>
      <w:r>
        <w:rPr>
          <w:color w:val="auto"/>
        </w:rPr>
        <w:t>are</w:t>
      </w:r>
      <w:r w:rsidRPr="00EF689D">
        <w:rPr>
          <w:color w:val="auto"/>
        </w:rPr>
        <w:t xml:space="preserve"> shown in the following table. The total spend </w:t>
      </w:r>
      <w:r>
        <w:rPr>
          <w:color w:val="auto"/>
        </w:rPr>
        <w:t>over the</w:t>
      </w:r>
      <w:r w:rsidRPr="00EF689D">
        <w:rPr>
          <w:color w:val="auto"/>
        </w:rPr>
        <w:t xml:space="preserve"> 5 years is estimated at a</w:t>
      </w:r>
      <w:r>
        <w:rPr>
          <w:color w:val="auto"/>
        </w:rPr>
        <w:t>round £23</w:t>
      </w:r>
      <w:r w:rsidRPr="00EF689D">
        <w:rPr>
          <w:color w:val="auto"/>
        </w:rPr>
        <w:t>m.</w:t>
      </w:r>
    </w:p>
    <w:tbl>
      <w:tblPr>
        <w:tblStyle w:val="TableGrid1"/>
        <w:tblW w:w="0" w:type="auto"/>
        <w:tblLayout w:type="fixed"/>
        <w:tblLook w:val="04A0" w:firstRow="1" w:lastRow="0" w:firstColumn="1" w:lastColumn="0" w:noHBand="0" w:noVBand="1"/>
      </w:tblPr>
      <w:tblGrid>
        <w:gridCol w:w="1101"/>
        <w:gridCol w:w="850"/>
        <w:gridCol w:w="851"/>
        <w:gridCol w:w="850"/>
        <w:gridCol w:w="851"/>
        <w:gridCol w:w="850"/>
        <w:gridCol w:w="709"/>
        <w:gridCol w:w="850"/>
        <w:gridCol w:w="765"/>
        <w:gridCol w:w="806"/>
        <w:gridCol w:w="759"/>
      </w:tblGrid>
      <w:tr w:rsidR="00424C1D" w:rsidRPr="00EF689D" w:rsidTr="00424C1D">
        <w:tc>
          <w:tcPr>
            <w:tcW w:w="1101" w:type="dxa"/>
            <w:tcBorders>
              <w:left w:val="nil"/>
              <w:bottom w:val="nil"/>
              <w:right w:val="nil"/>
            </w:tcBorders>
          </w:tcPr>
          <w:p w:rsidR="00424C1D" w:rsidRPr="00EF689D" w:rsidRDefault="00424C1D" w:rsidP="00424C1D">
            <w:pPr>
              <w:tabs>
                <w:tab w:val="clear" w:pos="720"/>
              </w:tabs>
              <w:suppressAutoHyphens w:val="0"/>
              <w:rPr>
                <w:rFonts w:eastAsiaTheme="majorEastAsia" w:cstheme="majorBidi"/>
                <w:b/>
                <w:bCs/>
                <w:iCs/>
                <w:color w:val="auto"/>
                <w:sz w:val="20"/>
                <w:szCs w:val="20"/>
              </w:rPr>
            </w:pPr>
          </w:p>
        </w:tc>
        <w:tc>
          <w:tcPr>
            <w:tcW w:w="1701" w:type="dxa"/>
            <w:gridSpan w:val="2"/>
            <w:tcBorders>
              <w:left w:val="nil"/>
              <w:bottom w:val="nil"/>
              <w:right w:val="nil"/>
            </w:tcBorders>
          </w:tcPr>
          <w:p w:rsidR="00424C1D" w:rsidRPr="00EF689D" w:rsidRDefault="00424C1D" w:rsidP="00424C1D">
            <w:pPr>
              <w:tabs>
                <w:tab w:val="clear" w:pos="720"/>
              </w:tabs>
              <w:suppressAutoHyphens w:val="0"/>
              <w:jc w:val="center"/>
              <w:rPr>
                <w:rFonts w:eastAsiaTheme="majorEastAsia" w:cstheme="majorBidi"/>
                <w:b/>
                <w:bCs/>
                <w:iCs/>
                <w:color w:val="auto"/>
                <w:sz w:val="20"/>
                <w:szCs w:val="20"/>
              </w:rPr>
            </w:pPr>
            <w:r w:rsidRPr="00EF689D">
              <w:rPr>
                <w:rFonts w:eastAsiaTheme="majorEastAsia" w:cstheme="majorBidi"/>
                <w:b/>
                <w:bCs/>
                <w:iCs/>
                <w:color w:val="auto"/>
                <w:sz w:val="20"/>
                <w:szCs w:val="20"/>
              </w:rPr>
              <w:t>2015/16</w:t>
            </w:r>
          </w:p>
        </w:tc>
        <w:tc>
          <w:tcPr>
            <w:tcW w:w="1701" w:type="dxa"/>
            <w:gridSpan w:val="2"/>
            <w:tcBorders>
              <w:left w:val="nil"/>
              <w:bottom w:val="nil"/>
              <w:right w:val="nil"/>
            </w:tcBorders>
          </w:tcPr>
          <w:p w:rsidR="00424C1D" w:rsidRPr="00EF689D" w:rsidRDefault="00424C1D" w:rsidP="00424C1D">
            <w:pPr>
              <w:tabs>
                <w:tab w:val="clear" w:pos="720"/>
              </w:tabs>
              <w:suppressAutoHyphens w:val="0"/>
              <w:jc w:val="center"/>
              <w:rPr>
                <w:rFonts w:eastAsiaTheme="majorEastAsia" w:cstheme="majorBidi"/>
                <w:b/>
                <w:bCs/>
                <w:iCs/>
                <w:color w:val="auto"/>
                <w:sz w:val="20"/>
                <w:szCs w:val="20"/>
              </w:rPr>
            </w:pPr>
            <w:r w:rsidRPr="00EF689D">
              <w:rPr>
                <w:rFonts w:eastAsiaTheme="majorEastAsia" w:cstheme="majorBidi"/>
                <w:b/>
                <w:bCs/>
                <w:iCs/>
                <w:color w:val="auto"/>
                <w:sz w:val="20"/>
                <w:szCs w:val="20"/>
              </w:rPr>
              <w:t>2016/17</w:t>
            </w:r>
          </w:p>
        </w:tc>
        <w:tc>
          <w:tcPr>
            <w:tcW w:w="1559" w:type="dxa"/>
            <w:gridSpan w:val="2"/>
            <w:tcBorders>
              <w:left w:val="nil"/>
              <w:bottom w:val="nil"/>
              <w:right w:val="nil"/>
            </w:tcBorders>
          </w:tcPr>
          <w:p w:rsidR="00424C1D" w:rsidRPr="00EF689D" w:rsidRDefault="00424C1D" w:rsidP="00424C1D">
            <w:pPr>
              <w:tabs>
                <w:tab w:val="clear" w:pos="720"/>
              </w:tabs>
              <w:suppressAutoHyphens w:val="0"/>
              <w:jc w:val="center"/>
              <w:rPr>
                <w:rFonts w:eastAsiaTheme="majorEastAsia" w:cstheme="majorBidi"/>
                <w:b/>
                <w:bCs/>
                <w:iCs/>
                <w:color w:val="auto"/>
                <w:sz w:val="20"/>
                <w:szCs w:val="20"/>
              </w:rPr>
            </w:pPr>
            <w:r w:rsidRPr="00EF689D">
              <w:rPr>
                <w:rFonts w:eastAsiaTheme="majorEastAsia" w:cstheme="majorBidi"/>
                <w:b/>
                <w:bCs/>
                <w:iCs/>
                <w:color w:val="auto"/>
                <w:sz w:val="20"/>
                <w:szCs w:val="20"/>
              </w:rPr>
              <w:t>2017/18</w:t>
            </w:r>
          </w:p>
        </w:tc>
        <w:tc>
          <w:tcPr>
            <w:tcW w:w="1615" w:type="dxa"/>
            <w:gridSpan w:val="2"/>
            <w:tcBorders>
              <w:left w:val="nil"/>
              <w:bottom w:val="nil"/>
              <w:right w:val="nil"/>
            </w:tcBorders>
          </w:tcPr>
          <w:p w:rsidR="00424C1D" w:rsidRPr="00EF689D" w:rsidRDefault="00424C1D" w:rsidP="00424C1D">
            <w:pPr>
              <w:tabs>
                <w:tab w:val="clear" w:pos="720"/>
              </w:tabs>
              <w:suppressAutoHyphens w:val="0"/>
              <w:jc w:val="center"/>
              <w:rPr>
                <w:rFonts w:eastAsiaTheme="majorEastAsia" w:cstheme="majorBidi"/>
                <w:b/>
                <w:bCs/>
                <w:iCs/>
                <w:color w:val="auto"/>
                <w:sz w:val="20"/>
                <w:szCs w:val="20"/>
              </w:rPr>
            </w:pPr>
            <w:r w:rsidRPr="00EF689D">
              <w:rPr>
                <w:rFonts w:eastAsiaTheme="majorEastAsia" w:cstheme="majorBidi"/>
                <w:b/>
                <w:bCs/>
                <w:iCs/>
                <w:color w:val="auto"/>
                <w:sz w:val="20"/>
                <w:szCs w:val="20"/>
              </w:rPr>
              <w:t>2018/19</w:t>
            </w:r>
          </w:p>
        </w:tc>
        <w:tc>
          <w:tcPr>
            <w:tcW w:w="1565" w:type="dxa"/>
            <w:gridSpan w:val="2"/>
            <w:tcBorders>
              <w:left w:val="nil"/>
              <w:bottom w:val="nil"/>
              <w:right w:val="nil"/>
            </w:tcBorders>
          </w:tcPr>
          <w:p w:rsidR="00424C1D" w:rsidRPr="00EF689D" w:rsidRDefault="00424C1D" w:rsidP="00424C1D">
            <w:pPr>
              <w:tabs>
                <w:tab w:val="clear" w:pos="720"/>
              </w:tabs>
              <w:suppressAutoHyphens w:val="0"/>
              <w:jc w:val="center"/>
              <w:rPr>
                <w:rFonts w:eastAsiaTheme="majorEastAsia" w:cstheme="majorBidi"/>
                <w:b/>
                <w:bCs/>
                <w:iCs/>
                <w:color w:val="auto"/>
                <w:sz w:val="20"/>
                <w:szCs w:val="20"/>
              </w:rPr>
            </w:pPr>
            <w:r w:rsidRPr="00EF689D">
              <w:rPr>
                <w:rFonts w:eastAsiaTheme="majorEastAsia" w:cstheme="majorBidi"/>
                <w:b/>
                <w:bCs/>
                <w:iCs/>
                <w:color w:val="auto"/>
                <w:sz w:val="20"/>
                <w:szCs w:val="20"/>
              </w:rPr>
              <w:t>2019/20</w:t>
            </w:r>
          </w:p>
        </w:tc>
      </w:tr>
      <w:tr w:rsidR="00424C1D" w:rsidRPr="00EF689D" w:rsidTr="00424C1D">
        <w:tc>
          <w:tcPr>
            <w:tcW w:w="1101" w:type="dxa"/>
            <w:tcBorders>
              <w:top w:val="nil"/>
              <w:left w:val="nil"/>
              <w:bottom w:val="nil"/>
              <w:right w:val="nil"/>
            </w:tcBorders>
          </w:tcPr>
          <w:p w:rsidR="00424C1D" w:rsidRPr="00EF689D" w:rsidRDefault="00424C1D" w:rsidP="00424C1D">
            <w:pPr>
              <w:tabs>
                <w:tab w:val="clear" w:pos="720"/>
              </w:tabs>
              <w:suppressAutoHyphens w:val="0"/>
              <w:rPr>
                <w:rFonts w:eastAsiaTheme="majorEastAsia" w:cstheme="majorBidi"/>
                <w:b/>
                <w:bCs/>
                <w:iCs/>
                <w:color w:val="auto"/>
                <w:sz w:val="20"/>
                <w:szCs w:val="20"/>
              </w:rPr>
            </w:pPr>
          </w:p>
        </w:tc>
        <w:tc>
          <w:tcPr>
            <w:tcW w:w="850"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Project</w:t>
            </w:r>
          </w:p>
        </w:tc>
        <w:tc>
          <w:tcPr>
            <w:tcW w:w="851"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Op</w:t>
            </w:r>
          </w:p>
        </w:tc>
        <w:tc>
          <w:tcPr>
            <w:tcW w:w="850"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Project</w:t>
            </w:r>
          </w:p>
        </w:tc>
        <w:tc>
          <w:tcPr>
            <w:tcW w:w="851"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Op</w:t>
            </w:r>
          </w:p>
        </w:tc>
        <w:tc>
          <w:tcPr>
            <w:tcW w:w="850"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Project</w:t>
            </w:r>
          </w:p>
        </w:tc>
        <w:tc>
          <w:tcPr>
            <w:tcW w:w="709"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Op</w:t>
            </w:r>
          </w:p>
        </w:tc>
        <w:tc>
          <w:tcPr>
            <w:tcW w:w="850"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Project</w:t>
            </w:r>
          </w:p>
        </w:tc>
        <w:tc>
          <w:tcPr>
            <w:tcW w:w="765"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Op</w:t>
            </w:r>
          </w:p>
        </w:tc>
        <w:tc>
          <w:tcPr>
            <w:tcW w:w="806"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Project</w:t>
            </w:r>
          </w:p>
        </w:tc>
        <w:tc>
          <w:tcPr>
            <w:tcW w:w="759" w:type="dxa"/>
            <w:tcBorders>
              <w:top w:val="nil"/>
              <w:left w:val="nil"/>
              <w:bottom w:val="nil"/>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Op</w:t>
            </w:r>
          </w:p>
        </w:tc>
      </w:tr>
      <w:tr w:rsidR="00424C1D" w:rsidRPr="00EF689D" w:rsidTr="00424C1D">
        <w:tc>
          <w:tcPr>
            <w:tcW w:w="1101" w:type="dxa"/>
            <w:tcBorders>
              <w:top w:val="nil"/>
              <w:left w:val="nil"/>
              <w:bottom w:val="single" w:sz="4" w:space="0" w:color="auto"/>
              <w:right w:val="nil"/>
            </w:tcBorders>
          </w:tcPr>
          <w:p w:rsidR="00424C1D" w:rsidRPr="00EF689D" w:rsidRDefault="00424C1D" w:rsidP="00424C1D">
            <w:pPr>
              <w:tabs>
                <w:tab w:val="clear" w:pos="720"/>
              </w:tabs>
              <w:suppressAutoHyphens w:val="0"/>
              <w:rPr>
                <w:rFonts w:eastAsiaTheme="majorEastAsia" w:cstheme="majorBidi"/>
                <w:b/>
                <w:bCs/>
                <w:iCs/>
                <w:color w:val="auto"/>
                <w:sz w:val="20"/>
                <w:szCs w:val="20"/>
              </w:rPr>
            </w:pPr>
          </w:p>
        </w:tc>
        <w:tc>
          <w:tcPr>
            <w:tcW w:w="850"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851"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850"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851"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850"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709"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850"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765"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806"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c>
          <w:tcPr>
            <w:tcW w:w="759" w:type="dxa"/>
            <w:tcBorders>
              <w:top w:val="nil"/>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£000</w:t>
            </w:r>
          </w:p>
        </w:tc>
      </w:tr>
      <w:tr w:rsidR="00424C1D" w:rsidRPr="00EF689D" w:rsidTr="00424C1D">
        <w:tc>
          <w:tcPr>
            <w:tcW w:w="1101"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rPr>
                <w:rFonts w:eastAsiaTheme="majorEastAsia" w:cstheme="majorBidi"/>
                <w:bCs/>
                <w:iCs/>
                <w:color w:val="auto"/>
                <w:sz w:val="20"/>
                <w:szCs w:val="20"/>
              </w:rPr>
            </w:pPr>
            <w:r w:rsidRPr="00EF689D">
              <w:rPr>
                <w:rFonts w:eastAsiaTheme="majorEastAsia" w:cstheme="majorBidi"/>
                <w:bCs/>
                <w:iCs/>
                <w:color w:val="auto"/>
                <w:sz w:val="20"/>
                <w:szCs w:val="20"/>
              </w:rPr>
              <w:t>Run</w:t>
            </w:r>
          </w:p>
        </w:tc>
        <w:tc>
          <w:tcPr>
            <w:tcW w:w="850"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2,180</w:t>
            </w:r>
          </w:p>
        </w:tc>
        <w:tc>
          <w:tcPr>
            <w:tcW w:w="851"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4</w:t>
            </w:r>
          </w:p>
        </w:tc>
        <w:tc>
          <w:tcPr>
            <w:tcW w:w="850"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3,415</w:t>
            </w:r>
          </w:p>
        </w:tc>
        <w:tc>
          <w:tcPr>
            <w:tcW w:w="851"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FF0000"/>
                <w:sz w:val="20"/>
                <w:szCs w:val="20"/>
              </w:rPr>
              <w:t>(</w:t>
            </w:r>
            <w:r w:rsidRPr="00EF689D">
              <w:rPr>
                <w:rFonts w:eastAsiaTheme="majorEastAsia" w:cstheme="majorBidi"/>
                <w:bCs/>
                <w:iCs/>
                <w:color w:val="FF0000"/>
                <w:sz w:val="20"/>
                <w:szCs w:val="20"/>
              </w:rPr>
              <w:t>52</w:t>
            </w:r>
            <w:r>
              <w:rPr>
                <w:rFonts w:eastAsiaTheme="majorEastAsia" w:cstheme="majorBidi"/>
                <w:bCs/>
                <w:iCs/>
                <w:color w:val="FF0000"/>
                <w:sz w:val="20"/>
                <w:szCs w:val="20"/>
              </w:rPr>
              <w:t>)</w:t>
            </w:r>
          </w:p>
        </w:tc>
        <w:tc>
          <w:tcPr>
            <w:tcW w:w="850"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2,570</w:t>
            </w:r>
          </w:p>
        </w:tc>
        <w:tc>
          <w:tcPr>
            <w:tcW w:w="709"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FF0000"/>
                <w:sz w:val="20"/>
                <w:szCs w:val="20"/>
              </w:rPr>
              <w:t>(</w:t>
            </w:r>
            <w:r w:rsidRPr="00EF689D">
              <w:rPr>
                <w:rFonts w:eastAsiaTheme="majorEastAsia" w:cstheme="majorBidi"/>
                <w:bCs/>
                <w:iCs/>
                <w:color w:val="FF0000"/>
                <w:sz w:val="20"/>
                <w:szCs w:val="20"/>
              </w:rPr>
              <w:t>160</w:t>
            </w:r>
            <w:r>
              <w:rPr>
                <w:rFonts w:eastAsiaTheme="majorEastAsia" w:cstheme="majorBidi"/>
                <w:bCs/>
                <w:iCs/>
                <w:color w:val="FF0000"/>
                <w:sz w:val="20"/>
                <w:szCs w:val="20"/>
              </w:rPr>
              <w:t>)</w:t>
            </w:r>
          </w:p>
        </w:tc>
        <w:tc>
          <w:tcPr>
            <w:tcW w:w="850"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1,205</w:t>
            </w:r>
          </w:p>
        </w:tc>
        <w:tc>
          <w:tcPr>
            <w:tcW w:w="765"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FF0000"/>
                <w:sz w:val="20"/>
                <w:szCs w:val="20"/>
              </w:rPr>
              <w:t>(</w:t>
            </w:r>
            <w:r w:rsidRPr="00EF689D">
              <w:rPr>
                <w:rFonts w:eastAsiaTheme="majorEastAsia" w:cstheme="majorBidi"/>
                <w:bCs/>
                <w:iCs/>
                <w:color w:val="FF0000"/>
                <w:sz w:val="20"/>
                <w:szCs w:val="20"/>
              </w:rPr>
              <w:t>198</w:t>
            </w:r>
            <w:r>
              <w:rPr>
                <w:rFonts w:eastAsiaTheme="majorEastAsia" w:cstheme="majorBidi"/>
                <w:bCs/>
                <w:iCs/>
                <w:color w:val="FF0000"/>
                <w:sz w:val="20"/>
                <w:szCs w:val="20"/>
              </w:rPr>
              <w:t>)</w:t>
            </w:r>
          </w:p>
        </w:tc>
        <w:tc>
          <w:tcPr>
            <w:tcW w:w="806"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960</w:t>
            </w:r>
          </w:p>
        </w:tc>
        <w:tc>
          <w:tcPr>
            <w:tcW w:w="759" w:type="dxa"/>
            <w:tcBorders>
              <w:top w:val="single" w:sz="4" w:space="0" w:color="auto"/>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FF0000"/>
                <w:sz w:val="20"/>
                <w:szCs w:val="20"/>
              </w:rPr>
              <w:t>(</w:t>
            </w:r>
            <w:r w:rsidRPr="00EF689D">
              <w:rPr>
                <w:rFonts w:eastAsiaTheme="majorEastAsia" w:cstheme="majorBidi"/>
                <w:bCs/>
                <w:iCs/>
                <w:color w:val="FF0000"/>
                <w:sz w:val="20"/>
                <w:szCs w:val="20"/>
              </w:rPr>
              <w:t>198</w:t>
            </w:r>
            <w:r>
              <w:rPr>
                <w:rFonts w:eastAsiaTheme="majorEastAsia" w:cstheme="majorBidi"/>
                <w:bCs/>
                <w:iCs/>
                <w:color w:val="FF0000"/>
                <w:sz w:val="20"/>
                <w:szCs w:val="20"/>
              </w:rPr>
              <w:t>)</w:t>
            </w:r>
          </w:p>
        </w:tc>
      </w:tr>
      <w:tr w:rsidR="00424C1D" w:rsidRPr="00EF689D" w:rsidTr="00424C1D">
        <w:tc>
          <w:tcPr>
            <w:tcW w:w="110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tabs>
                <w:tab w:val="clear" w:pos="720"/>
              </w:tabs>
              <w:suppressAutoHyphens w:val="0"/>
              <w:rPr>
                <w:rFonts w:eastAsiaTheme="majorEastAsia" w:cstheme="majorBidi"/>
                <w:bCs/>
                <w:iCs/>
                <w:color w:val="auto"/>
                <w:sz w:val="20"/>
                <w:szCs w:val="20"/>
              </w:rPr>
            </w:pPr>
            <w:r w:rsidRPr="00EF689D">
              <w:rPr>
                <w:rFonts w:eastAsiaTheme="majorEastAsia" w:cstheme="majorBidi"/>
                <w:bCs/>
                <w:iCs/>
                <w:color w:val="auto"/>
                <w:sz w:val="20"/>
                <w:szCs w:val="20"/>
              </w:rPr>
              <w:t>Grow</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1,060</w:t>
            </w:r>
          </w:p>
        </w:tc>
        <w:tc>
          <w:tcPr>
            <w:tcW w:w="851"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5</w:t>
            </w:r>
            <w:r w:rsidR="00424C1D">
              <w:rPr>
                <w:rFonts w:eastAsiaTheme="majorEastAsia" w:cstheme="majorBidi"/>
                <w:bCs/>
                <w:iCs/>
                <w:color w:val="auto"/>
                <w:sz w:val="20"/>
                <w:szCs w:val="20"/>
              </w:rPr>
              <w:t>2</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1,800</w:t>
            </w:r>
          </w:p>
        </w:tc>
        <w:tc>
          <w:tcPr>
            <w:tcW w:w="851"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194</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800</w:t>
            </w:r>
          </w:p>
        </w:tc>
        <w:tc>
          <w:tcPr>
            <w:tcW w:w="709"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220</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1,100</w:t>
            </w:r>
          </w:p>
        </w:tc>
        <w:tc>
          <w:tcPr>
            <w:tcW w:w="765"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245</w:t>
            </w:r>
          </w:p>
        </w:tc>
        <w:tc>
          <w:tcPr>
            <w:tcW w:w="80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130</w:t>
            </w:r>
          </w:p>
        </w:tc>
        <w:tc>
          <w:tcPr>
            <w:tcW w:w="759"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270</w:t>
            </w:r>
          </w:p>
        </w:tc>
      </w:tr>
      <w:tr w:rsidR="00424C1D" w:rsidRPr="00EF689D" w:rsidTr="00424C1D">
        <w:tc>
          <w:tcPr>
            <w:tcW w:w="110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tabs>
                <w:tab w:val="clear" w:pos="720"/>
              </w:tabs>
              <w:suppressAutoHyphens w:val="0"/>
              <w:rPr>
                <w:rFonts w:eastAsiaTheme="majorEastAsia" w:cstheme="majorBidi"/>
                <w:bCs/>
                <w:iCs/>
                <w:color w:val="auto"/>
                <w:sz w:val="20"/>
                <w:szCs w:val="20"/>
              </w:rPr>
            </w:pPr>
            <w:r w:rsidRPr="00EF689D">
              <w:rPr>
                <w:rFonts w:eastAsiaTheme="majorEastAsia" w:cstheme="majorBidi"/>
                <w:bCs/>
                <w:iCs/>
                <w:color w:val="auto"/>
                <w:sz w:val="20"/>
                <w:szCs w:val="20"/>
              </w:rPr>
              <w:t>Transform</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973</w:t>
            </w:r>
          </w:p>
        </w:tc>
        <w:tc>
          <w:tcPr>
            <w:tcW w:w="851"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18</w:t>
            </w:r>
            <w:r w:rsidR="00424C1D">
              <w:rPr>
                <w:rFonts w:eastAsiaTheme="majorEastAsia" w:cstheme="majorBidi"/>
                <w:bCs/>
                <w:iCs/>
                <w:color w:val="auto"/>
                <w:sz w:val="20"/>
                <w:szCs w:val="20"/>
              </w:rPr>
              <w:t>4</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772</w:t>
            </w:r>
          </w:p>
        </w:tc>
        <w:tc>
          <w:tcPr>
            <w:tcW w:w="851"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208</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760</w:t>
            </w:r>
          </w:p>
        </w:tc>
        <w:tc>
          <w:tcPr>
            <w:tcW w:w="709"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221</w:t>
            </w:r>
          </w:p>
        </w:tc>
        <w:tc>
          <w:tcPr>
            <w:tcW w:w="850"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1,760</w:t>
            </w:r>
          </w:p>
        </w:tc>
        <w:tc>
          <w:tcPr>
            <w:tcW w:w="765"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271</w:t>
            </w:r>
          </w:p>
        </w:tc>
        <w:tc>
          <w:tcPr>
            <w:tcW w:w="80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tabs>
                <w:tab w:val="clear" w:pos="720"/>
              </w:tabs>
              <w:suppressAutoHyphens w:val="0"/>
              <w:jc w:val="right"/>
              <w:rPr>
                <w:rFonts w:eastAsiaTheme="majorEastAsia" w:cstheme="majorBidi"/>
                <w:bCs/>
                <w:iCs/>
                <w:color w:val="auto"/>
                <w:sz w:val="20"/>
                <w:szCs w:val="20"/>
              </w:rPr>
            </w:pPr>
            <w:r w:rsidRPr="00EF689D">
              <w:rPr>
                <w:rFonts w:eastAsiaTheme="majorEastAsia" w:cstheme="majorBidi"/>
                <w:bCs/>
                <w:iCs/>
                <w:color w:val="auto"/>
                <w:sz w:val="20"/>
                <w:szCs w:val="20"/>
              </w:rPr>
              <w:t>1,760</w:t>
            </w:r>
          </w:p>
        </w:tc>
        <w:tc>
          <w:tcPr>
            <w:tcW w:w="759" w:type="dxa"/>
            <w:tcBorders>
              <w:top w:val="single" w:sz="4" w:space="0" w:color="BFBFBF" w:themeColor="background1" w:themeShade="BF"/>
              <w:left w:val="nil"/>
              <w:bottom w:val="single" w:sz="4" w:space="0" w:color="BFBFBF" w:themeColor="background1" w:themeShade="BF"/>
              <w:right w:val="nil"/>
            </w:tcBorders>
          </w:tcPr>
          <w:p w:rsidR="00424C1D" w:rsidRPr="00EF689D" w:rsidRDefault="00E53F86" w:rsidP="00424C1D">
            <w:pPr>
              <w:tabs>
                <w:tab w:val="clear" w:pos="720"/>
              </w:tabs>
              <w:suppressAutoHyphens w:val="0"/>
              <w:jc w:val="right"/>
              <w:rPr>
                <w:rFonts w:eastAsiaTheme="majorEastAsia" w:cstheme="majorBidi"/>
                <w:bCs/>
                <w:iCs/>
                <w:color w:val="auto"/>
                <w:sz w:val="20"/>
                <w:szCs w:val="20"/>
              </w:rPr>
            </w:pPr>
            <w:r>
              <w:rPr>
                <w:rFonts w:eastAsiaTheme="majorEastAsia" w:cstheme="majorBidi"/>
                <w:bCs/>
                <w:iCs/>
                <w:color w:val="auto"/>
                <w:sz w:val="20"/>
                <w:szCs w:val="20"/>
              </w:rPr>
              <w:t>261</w:t>
            </w:r>
          </w:p>
        </w:tc>
      </w:tr>
      <w:tr w:rsidR="00424C1D" w:rsidRPr="00EF689D" w:rsidTr="00424C1D">
        <w:tc>
          <w:tcPr>
            <w:tcW w:w="1101"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rPr>
                <w:rFonts w:eastAsiaTheme="majorEastAsia" w:cstheme="majorBidi"/>
                <w:b/>
                <w:bCs/>
                <w:iCs/>
                <w:color w:val="auto"/>
                <w:sz w:val="20"/>
                <w:szCs w:val="20"/>
              </w:rPr>
            </w:pPr>
            <w:r w:rsidRPr="00EF689D">
              <w:rPr>
                <w:rFonts w:eastAsiaTheme="majorEastAsia" w:cstheme="majorBidi"/>
                <w:b/>
                <w:bCs/>
                <w:iCs/>
                <w:color w:val="auto"/>
                <w:sz w:val="20"/>
                <w:szCs w:val="20"/>
              </w:rPr>
              <w:t xml:space="preserve">Total </w:t>
            </w:r>
          </w:p>
        </w:tc>
        <w:tc>
          <w:tcPr>
            <w:tcW w:w="850"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4,213</w:t>
            </w:r>
          </w:p>
        </w:tc>
        <w:tc>
          <w:tcPr>
            <w:tcW w:w="851"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Pr>
                <w:rFonts w:eastAsiaTheme="majorEastAsia" w:cstheme="majorBidi"/>
                <w:b/>
                <w:bCs/>
                <w:iCs/>
                <w:color w:val="auto"/>
                <w:sz w:val="20"/>
                <w:szCs w:val="20"/>
              </w:rPr>
              <w:t>240</w:t>
            </w:r>
          </w:p>
        </w:tc>
        <w:tc>
          <w:tcPr>
            <w:tcW w:w="850"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5,987</w:t>
            </w:r>
          </w:p>
        </w:tc>
        <w:tc>
          <w:tcPr>
            <w:tcW w:w="851"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Pr>
                <w:rFonts w:eastAsiaTheme="majorEastAsia" w:cstheme="majorBidi"/>
                <w:b/>
                <w:bCs/>
                <w:iCs/>
                <w:color w:val="auto"/>
                <w:sz w:val="20"/>
                <w:szCs w:val="20"/>
              </w:rPr>
              <w:t>350</w:t>
            </w:r>
          </w:p>
        </w:tc>
        <w:tc>
          <w:tcPr>
            <w:tcW w:w="850"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Pr>
                <w:rFonts w:eastAsiaTheme="majorEastAsia" w:cstheme="majorBidi"/>
                <w:b/>
                <w:bCs/>
                <w:iCs/>
                <w:color w:val="auto"/>
                <w:sz w:val="20"/>
                <w:szCs w:val="20"/>
              </w:rPr>
              <w:t>4,130</w:t>
            </w:r>
          </w:p>
        </w:tc>
        <w:tc>
          <w:tcPr>
            <w:tcW w:w="709"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Pr>
                <w:rFonts w:eastAsiaTheme="majorEastAsia" w:cstheme="majorBidi"/>
                <w:b/>
                <w:bCs/>
                <w:iCs/>
                <w:color w:val="auto"/>
                <w:sz w:val="20"/>
                <w:szCs w:val="20"/>
              </w:rPr>
              <w:t>28</w:t>
            </w:r>
            <w:r w:rsidRPr="00EF689D">
              <w:rPr>
                <w:rFonts w:eastAsiaTheme="majorEastAsia" w:cstheme="majorBidi"/>
                <w:b/>
                <w:bCs/>
                <w:iCs/>
                <w:color w:val="auto"/>
                <w:sz w:val="20"/>
                <w:szCs w:val="20"/>
              </w:rPr>
              <w:t>1</w:t>
            </w:r>
          </w:p>
        </w:tc>
        <w:tc>
          <w:tcPr>
            <w:tcW w:w="850"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4,065</w:t>
            </w:r>
          </w:p>
        </w:tc>
        <w:tc>
          <w:tcPr>
            <w:tcW w:w="765"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Pr>
                <w:rFonts w:eastAsiaTheme="majorEastAsia" w:cstheme="majorBidi"/>
                <w:b/>
                <w:bCs/>
                <w:iCs/>
                <w:color w:val="auto"/>
                <w:sz w:val="20"/>
                <w:szCs w:val="20"/>
              </w:rPr>
              <w:t>318</w:t>
            </w:r>
          </w:p>
        </w:tc>
        <w:tc>
          <w:tcPr>
            <w:tcW w:w="806"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2,850</w:t>
            </w:r>
          </w:p>
        </w:tc>
        <w:tc>
          <w:tcPr>
            <w:tcW w:w="759" w:type="dxa"/>
            <w:tcBorders>
              <w:top w:val="single" w:sz="4" w:space="0" w:color="BFBFBF" w:themeColor="background1" w:themeShade="BF"/>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Pr>
                <w:rFonts w:eastAsiaTheme="majorEastAsia" w:cstheme="majorBidi"/>
                <w:b/>
                <w:bCs/>
                <w:iCs/>
                <w:color w:val="auto"/>
                <w:sz w:val="20"/>
                <w:szCs w:val="20"/>
              </w:rPr>
              <w:t>3</w:t>
            </w:r>
            <w:r w:rsidRPr="00EF689D">
              <w:rPr>
                <w:rFonts w:eastAsiaTheme="majorEastAsia" w:cstheme="majorBidi"/>
                <w:b/>
                <w:bCs/>
                <w:iCs/>
                <w:color w:val="auto"/>
                <w:sz w:val="20"/>
                <w:szCs w:val="20"/>
              </w:rPr>
              <w:t>33</w:t>
            </w:r>
          </w:p>
        </w:tc>
      </w:tr>
      <w:tr w:rsidR="00424C1D" w:rsidRPr="00EF689D" w:rsidTr="00424C1D">
        <w:tc>
          <w:tcPr>
            <w:tcW w:w="1101"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rPr>
                <w:rFonts w:eastAsiaTheme="majorEastAsia" w:cstheme="majorBidi"/>
                <w:b/>
                <w:bCs/>
                <w:iCs/>
                <w:color w:val="auto"/>
                <w:sz w:val="20"/>
                <w:szCs w:val="20"/>
              </w:rPr>
            </w:pPr>
            <w:r w:rsidRPr="00EF689D">
              <w:rPr>
                <w:rFonts w:eastAsiaTheme="majorEastAsia" w:cstheme="majorBidi"/>
                <w:b/>
                <w:bCs/>
                <w:iCs/>
                <w:color w:val="auto"/>
                <w:sz w:val="20"/>
                <w:szCs w:val="20"/>
              </w:rPr>
              <w:t>TOTAL</w:t>
            </w:r>
          </w:p>
        </w:tc>
        <w:tc>
          <w:tcPr>
            <w:tcW w:w="850"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851"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850"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851"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850"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709"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850"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765" w:type="dxa"/>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p>
        </w:tc>
        <w:tc>
          <w:tcPr>
            <w:tcW w:w="1565" w:type="dxa"/>
            <w:gridSpan w:val="2"/>
            <w:tcBorders>
              <w:top w:val="single" w:sz="4" w:space="0" w:color="auto"/>
              <w:left w:val="nil"/>
              <w:bottom w:val="single" w:sz="4" w:space="0" w:color="auto"/>
              <w:right w:val="nil"/>
            </w:tcBorders>
          </w:tcPr>
          <w:p w:rsidR="00424C1D" w:rsidRPr="00EF689D" w:rsidRDefault="00424C1D" w:rsidP="00424C1D">
            <w:pPr>
              <w:tabs>
                <w:tab w:val="clear" w:pos="720"/>
              </w:tabs>
              <w:suppressAutoHyphens w:val="0"/>
              <w:jc w:val="right"/>
              <w:rPr>
                <w:rFonts w:eastAsiaTheme="majorEastAsia" w:cstheme="majorBidi"/>
                <w:b/>
                <w:bCs/>
                <w:iCs/>
                <w:color w:val="auto"/>
                <w:sz w:val="20"/>
                <w:szCs w:val="20"/>
              </w:rPr>
            </w:pPr>
            <w:r w:rsidRPr="00EF689D">
              <w:rPr>
                <w:rFonts w:eastAsiaTheme="majorEastAsia" w:cstheme="majorBidi"/>
                <w:b/>
                <w:bCs/>
                <w:iCs/>
                <w:color w:val="auto"/>
                <w:sz w:val="20"/>
                <w:szCs w:val="20"/>
              </w:rPr>
              <w:t>2</w:t>
            </w:r>
            <w:r>
              <w:rPr>
                <w:rFonts w:eastAsiaTheme="majorEastAsia" w:cstheme="majorBidi"/>
                <w:b/>
                <w:bCs/>
                <w:iCs/>
                <w:color w:val="auto"/>
                <w:sz w:val="20"/>
                <w:szCs w:val="20"/>
              </w:rPr>
              <w:t>2</w:t>
            </w:r>
            <w:r w:rsidRPr="00EF689D">
              <w:rPr>
                <w:rFonts w:eastAsiaTheme="majorEastAsia" w:cstheme="majorBidi"/>
                <w:b/>
                <w:bCs/>
                <w:iCs/>
                <w:color w:val="auto"/>
                <w:sz w:val="20"/>
                <w:szCs w:val="20"/>
              </w:rPr>
              <w:t>,</w:t>
            </w:r>
            <w:r>
              <w:rPr>
                <w:rFonts w:eastAsiaTheme="majorEastAsia" w:cstheme="majorBidi"/>
                <w:b/>
                <w:bCs/>
                <w:iCs/>
                <w:color w:val="auto"/>
                <w:sz w:val="20"/>
                <w:szCs w:val="20"/>
              </w:rPr>
              <w:t>767</w:t>
            </w:r>
          </w:p>
        </w:tc>
      </w:tr>
    </w:tbl>
    <w:p w:rsidR="00424C1D" w:rsidRPr="00EF689D" w:rsidRDefault="00424C1D" w:rsidP="00424C1D">
      <w:pPr>
        <w:numPr>
          <w:ilvl w:val="0"/>
          <w:numId w:val="2"/>
        </w:numPr>
        <w:tabs>
          <w:tab w:val="clear" w:pos="432"/>
          <w:tab w:val="clear" w:pos="720"/>
          <w:tab w:val="num" w:pos="0"/>
        </w:tabs>
        <w:suppressAutoHyphens w:val="0"/>
        <w:ind w:left="0" w:firstLine="0"/>
        <w:rPr>
          <w:rFonts w:eastAsiaTheme="majorEastAsia" w:cstheme="majorBidi"/>
          <w:bCs/>
          <w:iCs/>
          <w:color w:val="auto"/>
        </w:rPr>
      </w:pPr>
    </w:p>
    <w:p w:rsidR="00424C1D" w:rsidRDefault="00424C1D" w:rsidP="00424C1D">
      <w:pPr>
        <w:numPr>
          <w:ilvl w:val="0"/>
          <w:numId w:val="2"/>
        </w:numPr>
        <w:tabs>
          <w:tab w:val="clear" w:pos="432"/>
          <w:tab w:val="clear" w:pos="720"/>
          <w:tab w:val="num" w:pos="0"/>
        </w:tabs>
        <w:suppressAutoHyphens w:val="0"/>
        <w:ind w:left="0" w:firstLine="0"/>
        <w:rPr>
          <w:rFonts w:eastAsiaTheme="majorEastAsia" w:cstheme="majorBidi"/>
          <w:bCs/>
          <w:iCs/>
          <w:color w:val="auto"/>
        </w:rPr>
      </w:pPr>
      <w:r w:rsidRPr="00EF689D">
        <w:rPr>
          <w:rFonts w:eastAsiaTheme="majorEastAsia" w:cstheme="majorBidi"/>
          <w:bCs/>
          <w:iCs/>
          <w:color w:val="auto"/>
        </w:rPr>
        <w:t xml:space="preserve">The costs are divided between Run, Grow and Transform activities and between project and </w:t>
      </w:r>
      <w:r>
        <w:rPr>
          <w:rFonts w:eastAsiaTheme="majorEastAsia" w:cstheme="majorBidi"/>
          <w:bCs/>
          <w:iCs/>
          <w:color w:val="auto"/>
        </w:rPr>
        <w:t xml:space="preserve">changes to our </w:t>
      </w:r>
      <w:r w:rsidRPr="00EF689D">
        <w:rPr>
          <w:rFonts w:eastAsiaTheme="majorEastAsia" w:cstheme="majorBidi"/>
          <w:bCs/>
          <w:iCs/>
          <w:color w:val="auto"/>
        </w:rPr>
        <w:t xml:space="preserve">operational costs. </w:t>
      </w:r>
      <w:r>
        <w:rPr>
          <w:rFonts w:eastAsiaTheme="majorEastAsia" w:cstheme="majorBidi"/>
          <w:bCs/>
          <w:iCs/>
          <w:color w:val="auto"/>
        </w:rPr>
        <w:t>We agreed that we would adopt the approach of showing change in operational costs for this paper, as we were unable to attribute our existing operational costs between Run Grow and Transform activities</w:t>
      </w:r>
      <w:r w:rsidRPr="00C465AB">
        <w:rPr>
          <w:rFonts w:eastAsiaTheme="majorEastAsia" w:cstheme="majorBidi"/>
          <w:bCs/>
          <w:iCs/>
          <w:color w:val="auto"/>
        </w:rPr>
        <w:t xml:space="preserve"> </w:t>
      </w:r>
      <w:r>
        <w:rPr>
          <w:rFonts w:eastAsiaTheme="majorEastAsia" w:cstheme="majorBidi"/>
          <w:bCs/>
          <w:iCs/>
          <w:color w:val="auto"/>
        </w:rPr>
        <w:t xml:space="preserve">in the time available. </w:t>
      </w:r>
      <w:r w:rsidRPr="00EF689D">
        <w:rPr>
          <w:rFonts w:eastAsiaTheme="majorEastAsia" w:cstheme="majorBidi"/>
          <w:bCs/>
          <w:iCs/>
          <w:color w:val="auto"/>
        </w:rPr>
        <w:t xml:space="preserve">The approach to costing is broken down in much more detail in Appendix </w:t>
      </w:r>
      <w:r>
        <w:rPr>
          <w:rFonts w:eastAsiaTheme="majorEastAsia" w:cstheme="majorBidi"/>
          <w:bCs/>
          <w:iCs/>
          <w:color w:val="auto"/>
        </w:rPr>
        <w:t xml:space="preserve">A </w:t>
      </w:r>
      <w:r w:rsidRPr="00EF689D">
        <w:rPr>
          <w:rFonts w:eastAsiaTheme="majorEastAsia" w:cstheme="majorBidi"/>
          <w:bCs/>
          <w:iCs/>
          <w:color w:val="auto"/>
        </w:rPr>
        <w:t>where data sheets for individual projects are presented</w:t>
      </w:r>
      <w:r>
        <w:rPr>
          <w:rFonts w:eastAsiaTheme="majorEastAsia" w:cstheme="majorBidi"/>
          <w:bCs/>
          <w:iCs/>
          <w:color w:val="auto"/>
        </w:rPr>
        <w:t>,</w:t>
      </w:r>
      <w:r w:rsidRPr="00EF689D">
        <w:rPr>
          <w:rFonts w:eastAsiaTheme="majorEastAsia" w:cstheme="majorBidi"/>
          <w:bCs/>
          <w:iCs/>
          <w:color w:val="auto"/>
        </w:rPr>
        <w:t xml:space="preserve"> showing both the project costs and the impact on operational costs, i.e. the change in operational cost as a result of the changes introduced in the project. As </w:t>
      </w:r>
      <w:r>
        <w:rPr>
          <w:rFonts w:eastAsiaTheme="majorEastAsia" w:cstheme="majorBidi"/>
          <w:bCs/>
          <w:iCs/>
          <w:color w:val="auto"/>
        </w:rPr>
        <w:t>you can see in the table above</w:t>
      </w:r>
      <w:r w:rsidRPr="00EF689D">
        <w:rPr>
          <w:rFonts w:eastAsiaTheme="majorEastAsia" w:cstheme="majorBidi"/>
          <w:bCs/>
          <w:iCs/>
          <w:color w:val="auto"/>
        </w:rPr>
        <w:t xml:space="preserve"> the</w:t>
      </w:r>
      <w:r>
        <w:rPr>
          <w:rFonts w:eastAsiaTheme="majorEastAsia" w:cstheme="majorBidi"/>
          <w:bCs/>
          <w:iCs/>
          <w:color w:val="auto"/>
        </w:rPr>
        <w:t>re are some</w:t>
      </w:r>
      <w:r w:rsidRPr="00EF689D">
        <w:rPr>
          <w:rFonts w:eastAsiaTheme="majorEastAsia" w:cstheme="majorBidi"/>
          <w:bCs/>
          <w:iCs/>
          <w:color w:val="auto"/>
        </w:rPr>
        <w:t xml:space="preserve"> negative numbers</w:t>
      </w:r>
      <w:r>
        <w:rPr>
          <w:rFonts w:eastAsiaTheme="majorEastAsia" w:cstheme="majorBidi"/>
          <w:bCs/>
          <w:iCs/>
          <w:color w:val="auto"/>
        </w:rPr>
        <w:t xml:space="preserve">, shown in red brackets.  This shows </w:t>
      </w:r>
      <w:r w:rsidRPr="00EF689D">
        <w:rPr>
          <w:rFonts w:eastAsiaTheme="majorEastAsia" w:cstheme="majorBidi"/>
          <w:bCs/>
          <w:iCs/>
          <w:color w:val="auto"/>
        </w:rPr>
        <w:t>operational savings</w:t>
      </w:r>
      <w:r>
        <w:rPr>
          <w:rFonts w:eastAsiaTheme="majorEastAsia" w:cstheme="majorBidi"/>
          <w:bCs/>
          <w:iCs/>
          <w:color w:val="auto"/>
        </w:rPr>
        <w:t xml:space="preserve"> achieved as a result of the </w:t>
      </w:r>
      <w:r w:rsidRPr="00EF689D">
        <w:rPr>
          <w:rFonts w:eastAsiaTheme="majorEastAsia" w:cstheme="majorBidi"/>
          <w:bCs/>
          <w:iCs/>
          <w:color w:val="auto"/>
        </w:rPr>
        <w:t>project investments.</w:t>
      </w:r>
    </w:p>
    <w:p w:rsidR="00424C1D" w:rsidRDefault="00424C1D" w:rsidP="00424C1D">
      <w:pPr>
        <w:pStyle w:val="Textbody"/>
      </w:pPr>
      <w:r>
        <w:t xml:space="preserve">By presenting project costs, the capital costs are no longer identified explicitly at this level. There </w:t>
      </w:r>
      <w:proofErr w:type="gramStart"/>
      <w:r>
        <w:t>are</w:t>
      </w:r>
      <w:proofErr w:type="gramEnd"/>
      <w:r>
        <w:t xml:space="preserve"> some relatively small project revenue costs included alongside the capital costs. There </w:t>
      </w:r>
      <w:proofErr w:type="gramStart"/>
      <w:r>
        <w:t>are</w:t>
      </w:r>
      <w:proofErr w:type="gramEnd"/>
      <w:r>
        <w:t xml:space="preserve"> no capital costs included in the operating costs. A full breakdown is available at Appendix A. </w:t>
      </w:r>
    </w:p>
    <w:p w:rsidR="00424C1D" w:rsidRDefault="00424C1D" w:rsidP="00424C1D">
      <w:pPr>
        <w:tabs>
          <w:tab w:val="clear" w:pos="720"/>
        </w:tabs>
        <w:suppressAutoHyphens w:val="0"/>
      </w:pPr>
      <w:r>
        <w:br w:type="page"/>
      </w:r>
    </w:p>
    <w:p w:rsidR="00424C1D" w:rsidRPr="00EF689D" w:rsidRDefault="00424C1D" w:rsidP="00424C1D">
      <w:pPr>
        <w:spacing w:after="0" w:line="240" w:lineRule="auto"/>
      </w:pPr>
      <w:r w:rsidRPr="00EF689D">
        <w:lastRenderedPageBreak/>
        <w:t xml:space="preserve">A summary of Run, Grow and Transform project costs </w:t>
      </w:r>
      <w:r>
        <w:t xml:space="preserve">(excluding operational costs) </w:t>
      </w:r>
      <w:r w:rsidRPr="00EF689D">
        <w:t>is presented in the following table:</w:t>
      </w:r>
    </w:p>
    <w:tbl>
      <w:tblPr>
        <w:tblStyle w:val="TableGrid1"/>
        <w:tblW w:w="9039" w:type="dxa"/>
        <w:tblBorders>
          <w:left w:val="none" w:sz="0" w:space="0" w:color="auto"/>
          <w:right w:val="none" w:sz="0" w:space="0" w:color="auto"/>
        </w:tblBorders>
        <w:tblLook w:val="04A0" w:firstRow="1" w:lastRow="0" w:firstColumn="1" w:lastColumn="0" w:noHBand="0" w:noVBand="1"/>
      </w:tblPr>
      <w:tblGrid>
        <w:gridCol w:w="2571"/>
        <w:gridCol w:w="89"/>
        <w:gridCol w:w="717"/>
        <w:gridCol w:w="89"/>
        <w:gridCol w:w="911"/>
        <w:gridCol w:w="935"/>
        <w:gridCol w:w="911"/>
        <w:gridCol w:w="892"/>
        <w:gridCol w:w="866"/>
        <w:gridCol w:w="1058"/>
      </w:tblGrid>
      <w:tr w:rsidR="00424C1D" w:rsidRPr="00EF689D" w:rsidTr="00424C1D">
        <w:tc>
          <w:tcPr>
            <w:tcW w:w="2571" w:type="dxa"/>
            <w:tcBorders>
              <w:right w:val="nil"/>
            </w:tcBorders>
          </w:tcPr>
          <w:p w:rsidR="00424C1D" w:rsidRPr="00EF689D" w:rsidRDefault="00424C1D" w:rsidP="00424C1D">
            <w:pPr>
              <w:rPr>
                <w:b/>
                <w:color w:val="auto"/>
                <w:sz w:val="20"/>
                <w:szCs w:val="20"/>
              </w:rPr>
            </w:pPr>
            <w:r w:rsidRPr="00EF689D">
              <w:rPr>
                <w:b/>
                <w:color w:val="auto"/>
                <w:sz w:val="20"/>
                <w:szCs w:val="20"/>
              </w:rPr>
              <w:t>Project Name</w:t>
            </w:r>
          </w:p>
        </w:tc>
        <w:tc>
          <w:tcPr>
            <w:tcW w:w="895" w:type="dxa"/>
            <w:gridSpan w:val="3"/>
            <w:tcBorders>
              <w:left w:val="nil"/>
              <w:bottom w:val="single" w:sz="4" w:space="0" w:color="auto"/>
              <w:right w:val="nil"/>
            </w:tcBorders>
          </w:tcPr>
          <w:p w:rsidR="00424C1D" w:rsidRPr="00EF689D" w:rsidRDefault="00424C1D" w:rsidP="00424C1D">
            <w:pPr>
              <w:rPr>
                <w:b/>
                <w:color w:val="auto"/>
                <w:sz w:val="20"/>
                <w:szCs w:val="20"/>
              </w:rPr>
            </w:pPr>
            <w:r w:rsidRPr="00EF689D">
              <w:rPr>
                <w:b/>
                <w:color w:val="auto"/>
                <w:sz w:val="20"/>
                <w:szCs w:val="20"/>
              </w:rPr>
              <w:t>Project Type</w:t>
            </w:r>
          </w:p>
        </w:tc>
        <w:tc>
          <w:tcPr>
            <w:tcW w:w="911" w:type="dxa"/>
            <w:tcBorders>
              <w:left w:val="nil"/>
              <w:bottom w:val="single" w:sz="4" w:space="0" w:color="auto"/>
              <w:right w:val="nil"/>
            </w:tcBorders>
          </w:tcPr>
          <w:p w:rsidR="00424C1D" w:rsidRPr="00EF689D" w:rsidRDefault="00424C1D" w:rsidP="00424C1D">
            <w:pPr>
              <w:jc w:val="right"/>
              <w:rPr>
                <w:b/>
                <w:color w:val="auto"/>
                <w:sz w:val="20"/>
                <w:szCs w:val="20"/>
              </w:rPr>
            </w:pPr>
            <w:r w:rsidRPr="00EF689D">
              <w:rPr>
                <w:b/>
                <w:color w:val="auto"/>
                <w:sz w:val="20"/>
                <w:szCs w:val="20"/>
              </w:rPr>
              <w:t>2015/16</w:t>
            </w:r>
          </w:p>
          <w:p w:rsidR="00424C1D" w:rsidRPr="00EF689D" w:rsidRDefault="00424C1D" w:rsidP="00424C1D">
            <w:pPr>
              <w:jc w:val="right"/>
              <w:rPr>
                <w:b/>
                <w:color w:val="auto"/>
                <w:sz w:val="20"/>
                <w:szCs w:val="20"/>
              </w:rPr>
            </w:pPr>
            <w:r w:rsidRPr="00EF689D">
              <w:rPr>
                <w:b/>
                <w:color w:val="auto"/>
                <w:sz w:val="20"/>
                <w:szCs w:val="20"/>
              </w:rPr>
              <w:t>(£000)</w:t>
            </w:r>
          </w:p>
        </w:tc>
        <w:tc>
          <w:tcPr>
            <w:tcW w:w="935" w:type="dxa"/>
            <w:tcBorders>
              <w:left w:val="nil"/>
              <w:bottom w:val="single" w:sz="4" w:space="0" w:color="auto"/>
              <w:right w:val="nil"/>
            </w:tcBorders>
          </w:tcPr>
          <w:p w:rsidR="00424C1D" w:rsidRPr="00EF689D" w:rsidRDefault="00424C1D" w:rsidP="00424C1D">
            <w:pPr>
              <w:jc w:val="right"/>
              <w:rPr>
                <w:b/>
                <w:color w:val="auto"/>
                <w:sz w:val="20"/>
                <w:szCs w:val="20"/>
              </w:rPr>
            </w:pPr>
            <w:r w:rsidRPr="00EF689D">
              <w:rPr>
                <w:b/>
                <w:color w:val="auto"/>
                <w:sz w:val="20"/>
                <w:szCs w:val="20"/>
              </w:rPr>
              <w:t>2016/17</w:t>
            </w:r>
          </w:p>
          <w:p w:rsidR="00424C1D" w:rsidRPr="00EF689D" w:rsidRDefault="00424C1D" w:rsidP="00424C1D">
            <w:pPr>
              <w:jc w:val="right"/>
              <w:rPr>
                <w:b/>
                <w:color w:val="auto"/>
                <w:sz w:val="20"/>
                <w:szCs w:val="20"/>
              </w:rPr>
            </w:pPr>
            <w:r w:rsidRPr="00EF689D">
              <w:rPr>
                <w:b/>
                <w:color w:val="auto"/>
                <w:sz w:val="20"/>
                <w:szCs w:val="20"/>
              </w:rPr>
              <w:t>(£000)</w:t>
            </w:r>
          </w:p>
        </w:tc>
        <w:tc>
          <w:tcPr>
            <w:tcW w:w="911" w:type="dxa"/>
            <w:tcBorders>
              <w:left w:val="nil"/>
              <w:bottom w:val="single" w:sz="4" w:space="0" w:color="auto"/>
              <w:right w:val="nil"/>
            </w:tcBorders>
          </w:tcPr>
          <w:p w:rsidR="00424C1D" w:rsidRPr="00EF689D" w:rsidRDefault="00424C1D" w:rsidP="00424C1D">
            <w:pPr>
              <w:jc w:val="right"/>
              <w:rPr>
                <w:b/>
                <w:color w:val="auto"/>
                <w:sz w:val="20"/>
                <w:szCs w:val="20"/>
              </w:rPr>
            </w:pPr>
            <w:r w:rsidRPr="00EF689D">
              <w:rPr>
                <w:b/>
                <w:color w:val="auto"/>
                <w:sz w:val="20"/>
                <w:szCs w:val="20"/>
              </w:rPr>
              <w:t>2017/18</w:t>
            </w:r>
          </w:p>
          <w:p w:rsidR="00424C1D" w:rsidRPr="00EF689D" w:rsidRDefault="00424C1D" w:rsidP="00424C1D">
            <w:pPr>
              <w:jc w:val="right"/>
              <w:rPr>
                <w:b/>
                <w:color w:val="auto"/>
                <w:sz w:val="20"/>
                <w:szCs w:val="20"/>
              </w:rPr>
            </w:pPr>
            <w:r w:rsidRPr="00EF689D">
              <w:rPr>
                <w:b/>
                <w:color w:val="auto"/>
                <w:sz w:val="20"/>
                <w:szCs w:val="20"/>
              </w:rPr>
              <w:t>(£000)</w:t>
            </w:r>
          </w:p>
        </w:tc>
        <w:tc>
          <w:tcPr>
            <w:tcW w:w="892" w:type="dxa"/>
            <w:tcBorders>
              <w:left w:val="nil"/>
              <w:bottom w:val="single" w:sz="4" w:space="0" w:color="auto"/>
              <w:right w:val="nil"/>
            </w:tcBorders>
          </w:tcPr>
          <w:p w:rsidR="00424C1D" w:rsidRPr="00EF689D" w:rsidRDefault="00424C1D" w:rsidP="00424C1D">
            <w:pPr>
              <w:pBdr>
                <w:right w:val="single" w:sz="4" w:space="4" w:color="auto"/>
              </w:pBdr>
              <w:tabs>
                <w:tab w:val="clear" w:pos="720"/>
              </w:tabs>
              <w:ind w:right="-295"/>
              <w:jc w:val="right"/>
              <w:rPr>
                <w:b/>
                <w:color w:val="auto"/>
                <w:sz w:val="20"/>
                <w:szCs w:val="20"/>
              </w:rPr>
            </w:pPr>
            <w:r w:rsidRPr="00EF689D">
              <w:rPr>
                <w:b/>
                <w:color w:val="auto"/>
                <w:sz w:val="20"/>
                <w:szCs w:val="20"/>
              </w:rPr>
              <w:t>2018/19</w:t>
            </w:r>
          </w:p>
          <w:p w:rsidR="00424C1D" w:rsidRPr="00EF689D" w:rsidRDefault="00424C1D" w:rsidP="00424C1D">
            <w:pPr>
              <w:pBdr>
                <w:right w:val="single" w:sz="4" w:space="4" w:color="auto"/>
              </w:pBdr>
              <w:tabs>
                <w:tab w:val="clear" w:pos="720"/>
              </w:tabs>
              <w:ind w:right="-295"/>
              <w:jc w:val="center"/>
              <w:rPr>
                <w:b/>
                <w:color w:val="auto"/>
                <w:sz w:val="20"/>
                <w:szCs w:val="20"/>
              </w:rPr>
            </w:pPr>
            <w:r w:rsidRPr="00EF689D">
              <w:rPr>
                <w:b/>
                <w:color w:val="auto"/>
                <w:sz w:val="20"/>
                <w:szCs w:val="20"/>
              </w:rPr>
              <w:t>(£000)</w:t>
            </w:r>
          </w:p>
        </w:tc>
        <w:tc>
          <w:tcPr>
            <w:tcW w:w="866" w:type="dxa"/>
            <w:tcBorders>
              <w:left w:val="nil"/>
              <w:bottom w:val="single" w:sz="4" w:space="0" w:color="auto"/>
              <w:right w:val="nil"/>
            </w:tcBorders>
          </w:tcPr>
          <w:p w:rsidR="00424C1D" w:rsidRPr="00EF689D" w:rsidRDefault="00424C1D" w:rsidP="00424C1D">
            <w:pPr>
              <w:ind w:left="-204" w:firstLine="138"/>
              <w:jc w:val="right"/>
              <w:rPr>
                <w:b/>
                <w:color w:val="auto"/>
                <w:sz w:val="20"/>
                <w:szCs w:val="20"/>
              </w:rPr>
            </w:pPr>
            <w:r w:rsidRPr="00EF689D">
              <w:rPr>
                <w:b/>
                <w:color w:val="auto"/>
                <w:sz w:val="20"/>
                <w:szCs w:val="20"/>
              </w:rPr>
              <w:t>2019/20</w:t>
            </w:r>
          </w:p>
          <w:p w:rsidR="00424C1D" w:rsidRPr="00EF689D" w:rsidRDefault="00424C1D" w:rsidP="00424C1D">
            <w:pPr>
              <w:ind w:left="-204" w:firstLine="138"/>
              <w:jc w:val="right"/>
              <w:rPr>
                <w:b/>
                <w:color w:val="auto"/>
                <w:sz w:val="20"/>
                <w:szCs w:val="20"/>
              </w:rPr>
            </w:pPr>
            <w:r w:rsidRPr="00EF689D">
              <w:rPr>
                <w:b/>
                <w:color w:val="auto"/>
                <w:sz w:val="20"/>
                <w:szCs w:val="20"/>
              </w:rPr>
              <w:t>(£000)</w:t>
            </w:r>
          </w:p>
        </w:tc>
        <w:tc>
          <w:tcPr>
            <w:tcW w:w="1058" w:type="dxa"/>
            <w:tcBorders>
              <w:left w:val="nil"/>
            </w:tcBorders>
          </w:tcPr>
          <w:p w:rsidR="00424C1D" w:rsidRPr="00EF689D" w:rsidRDefault="00424C1D" w:rsidP="00424C1D">
            <w:pPr>
              <w:jc w:val="right"/>
              <w:rPr>
                <w:b/>
                <w:color w:val="auto"/>
                <w:sz w:val="20"/>
                <w:szCs w:val="20"/>
              </w:rPr>
            </w:pPr>
            <w:r w:rsidRPr="00EF689D">
              <w:rPr>
                <w:b/>
                <w:color w:val="auto"/>
                <w:sz w:val="20"/>
                <w:szCs w:val="20"/>
              </w:rPr>
              <w:t>Total</w:t>
            </w:r>
          </w:p>
          <w:p w:rsidR="00424C1D" w:rsidRPr="00EF689D" w:rsidRDefault="00424C1D" w:rsidP="00424C1D">
            <w:pPr>
              <w:jc w:val="right"/>
              <w:rPr>
                <w:b/>
                <w:color w:val="auto"/>
                <w:sz w:val="20"/>
                <w:szCs w:val="20"/>
              </w:rPr>
            </w:pPr>
            <w:r w:rsidRPr="00EF689D">
              <w:rPr>
                <w:b/>
                <w:color w:val="auto"/>
                <w:sz w:val="20"/>
                <w:szCs w:val="20"/>
              </w:rPr>
              <w:t>(£000)</w:t>
            </w:r>
          </w:p>
        </w:tc>
      </w:tr>
      <w:tr w:rsidR="00424C1D" w:rsidRPr="00EF689D" w:rsidTr="00424C1D">
        <w:tc>
          <w:tcPr>
            <w:tcW w:w="2660" w:type="dxa"/>
            <w:gridSpan w:val="2"/>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vertAlign w:val="superscript"/>
              </w:rPr>
            </w:pPr>
            <w:r w:rsidRPr="00EF689D">
              <w:rPr>
                <w:color w:val="auto"/>
                <w:sz w:val="20"/>
                <w:szCs w:val="20"/>
              </w:rPr>
              <w:t>Desktop domain spend</w:t>
            </w:r>
            <w:r w:rsidRPr="00EF689D">
              <w:rPr>
                <w:color w:val="auto"/>
                <w:sz w:val="20"/>
                <w:szCs w:val="20"/>
                <w:vertAlign w:val="superscript"/>
              </w:rPr>
              <w:t>1</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Run</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left="-64"/>
              <w:jc w:val="right"/>
              <w:rPr>
                <w:color w:val="auto"/>
                <w:sz w:val="20"/>
                <w:szCs w:val="20"/>
              </w:rPr>
            </w:pPr>
            <w:r w:rsidRPr="00EF689D">
              <w:rPr>
                <w:color w:val="auto"/>
                <w:sz w:val="20"/>
                <w:szCs w:val="20"/>
              </w:rPr>
              <w:t>180</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4"/>
              <w:jc w:val="right"/>
              <w:rPr>
                <w:color w:val="auto"/>
                <w:sz w:val="20"/>
                <w:szCs w:val="20"/>
              </w:rPr>
            </w:pPr>
            <w:r w:rsidRPr="00EF689D">
              <w:rPr>
                <w:color w:val="auto"/>
                <w:sz w:val="20"/>
                <w:szCs w:val="20"/>
              </w:rPr>
              <w:t>180</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67"/>
              <w:jc w:val="right"/>
              <w:rPr>
                <w:color w:val="auto"/>
                <w:sz w:val="20"/>
                <w:szCs w:val="20"/>
              </w:rPr>
            </w:pPr>
            <w:r w:rsidRPr="00EF689D">
              <w:rPr>
                <w:color w:val="auto"/>
                <w:sz w:val="20"/>
                <w:szCs w:val="20"/>
              </w:rPr>
              <w:t>180</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7"/>
              <w:jc w:val="right"/>
              <w:rPr>
                <w:color w:val="auto"/>
                <w:sz w:val="20"/>
                <w:szCs w:val="20"/>
              </w:rPr>
            </w:pPr>
            <w:r w:rsidRPr="00EF689D">
              <w:rPr>
                <w:color w:val="auto"/>
                <w:sz w:val="20"/>
                <w:szCs w:val="20"/>
              </w:rPr>
              <w:t>180</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27"/>
              <w:jc w:val="right"/>
              <w:rPr>
                <w:color w:val="auto"/>
                <w:sz w:val="20"/>
                <w:szCs w:val="20"/>
              </w:rPr>
            </w:pPr>
            <w:r w:rsidRPr="00EF689D">
              <w:rPr>
                <w:color w:val="auto"/>
                <w:sz w:val="20"/>
                <w:szCs w:val="20"/>
              </w:rPr>
              <w:t>180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ind w:hanging="43"/>
              <w:jc w:val="right"/>
              <w:rPr>
                <w:color w:val="auto"/>
                <w:sz w:val="20"/>
                <w:szCs w:val="20"/>
              </w:rPr>
            </w:pPr>
            <w:r w:rsidRPr="00EF689D">
              <w:rPr>
                <w:color w:val="auto"/>
                <w:sz w:val="20"/>
                <w:szCs w:val="20"/>
              </w:rPr>
              <w:t>900</w:t>
            </w:r>
          </w:p>
        </w:tc>
      </w:tr>
      <w:tr w:rsidR="00424C1D" w:rsidRPr="00EF689D" w:rsidTr="00424C1D">
        <w:tc>
          <w:tcPr>
            <w:tcW w:w="2660" w:type="dxa"/>
            <w:gridSpan w:val="2"/>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vertAlign w:val="superscript"/>
              </w:rPr>
            </w:pPr>
            <w:r w:rsidRPr="00EF689D">
              <w:rPr>
                <w:color w:val="auto"/>
                <w:sz w:val="20"/>
                <w:szCs w:val="20"/>
              </w:rPr>
              <w:t>Hardware domain spend</w:t>
            </w:r>
            <w:r w:rsidRPr="00EF689D">
              <w:rPr>
                <w:color w:val="auto"/>
                <w:sz w:val="20"/>
                <w:szCs w:val="20"/>
                <w:vertAlign w:val="superscript"/>
              </w:rPr>
              <w:t>1</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Run</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left="-64"/>
              <w:jc w:val="right"/>
              <w:rPr>
                <w:color w:val="auto"/>
                <w:sz w:val="20"/>
                <w:szCs w:val="20"/>
              </w:rPr>
            </w:pPr>
            <w:r w:rsidRPr="00EF689D">
              <w:rPr>
                <w:color w:val="auto"/>
                <w:sz w:val="20"/>
                <w:szCs w:val="20"/>
              </w:rPr>
              <w:t>290</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4"/>
              <w:jc w:val="right"/>
              <w:rPr>
                <w:color w:val="auto"/>
                <w:sz w:val="20"/>
                <w:szCs w:val="20"/>
              </w:rPr>
            </w:pPr>
            <w:r w:rsidRPr="00EF689D">
              <w:rPr>
                <w:color w:val="auto"/>
                <w:sz w:val="20"/>
                <w:szCs w:val="20"/>
              </w:rPr>
              <w:t>1,240</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67"/>
              <w:jc w:val="right"/>
              <w:rPr>
                <w:color w:val="auto"/>
                <w:sz w:val="20"/>
                <w:szCs w:val="20"/>
              </w:rPr>
            </w:pPr>
            <w:r w:rsidRPr="00EF689D">
              <w:rPr>
                <w:color w:val="auto"/>
                <w:sz w:val="20"/>
                <w:szCs w:val="20"/>
              </w:rPr>
              <w:t>1,040</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7"/>
              <w:jc w:val="right"/>
              <w:rPr>
                <w:color w:val="auto"/>
                <w:sz w:val="20"/>
                <w:szCs w:val="20"/>
              </w:rPr>
            </w:pPr>
            <w:r w:rsidRPr="00EF689D">
              <w:rPr>
                <w:color w:val="auto"/>
                <w:sz w:val="20"/>
                <w:szCs w:val="20"/>
              </w:rPr>
              <w:t>440</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27"/>
              <w:jc w:val="right"/>
              <w:rPr>
                <w:color w:val="auto"/>
                <w:sz w:val="20"/>
                <w:szCs w:val="20"/>
              </w:rPr>
            </w:pPr>
            <w:r w:rsidRPr="00EF689D">
              <w:rPr>
                <w:color w:val="auto"/>
                <w:sz w:val="20"/>
                <w:szCs w:val="20"/>
              </w:rPr>
              <w:t>240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ind w:hanging="43"/>
              <w:jc w:val="right"/>
              <w:rPr>
                <w:color w:val="auto"/>
                <w:sz w:val="20"/>
                <w:szCs w:val="20"/>
              </w:rPr>
            </w:pPr>
            <w:r w:rsidRPr="00EF689D">
              <w:rPr>
                <w:color w:val="auto"/>
                <w:sz w:val="20"/>
                <w:szCs w:val="20"/>
              </w:rPr>
              <w:t>3,250</w:t>
            </w:r>
          </w:p>
        </w:tc>
      </w:tr>
      <w:tr w:rsidR="00424C1D" w:rsidRPr="00EF689D" w:rsidTr="00424C1D">
        <w:tc>
          <w:tcPr>
            <w:tcW w:w="2660" w:type="dxa"/>
            <w:gridSpan w:val="2"/>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vertAlign w:val="superscript"/>
              </w:rPr>
            </w:pPr>
            <w:r w:rsidRPr="00EF689D">
              <w:rPr>
                <w:color w:val="auto"/>
                <w:sz w:val="20"/>
                <w:szCs w:val="20"/>
              </w:rPr>
              <w:t>Network domain spend</w:t>
            </w:r>
            <w:r w:rsidRPr="00EF689D">
              <w:rPr>
                <w:color w:val="auto"/>
                <w:sz w:val="20"/>
                <w:szCs w:val="20"/>
                <w:vertAlign w:val="superscript"/>
              </w:rPr>
              <w:t>1</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Run</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left="-64"/>
              <w:jc w:val="right"/>
              <w:rPr>
                <w:color w:val="auto"/>
                <w:sz w:val="20"/>
                <w:szCs w:val="20"/>
              </w:rPr>
            </w:pPr>
            <w:r w:rsidRPr="00EF689D">
              <w:rPr>
                <w:color w:val="auto"/>
                <w:sz w:val="20"/>
                <w:szCs w:val="20"/>
              </w:rPr>
              <w:t>235</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4"/>
              <w:jc w:val="right"/>
              <w:rPr>
                <w:color w:val="auto"/>
                <w:sz w:val="20"/>
                <w:szCs w:val="20"/>
              </w:rPr>
            </w:pPr>
            <w:r w:rsidRPr="00EF689D">
              <w:rPr>
                <w:color w:val="auto"/>
                <w:sz w:val="20"/>
                <w:szCs w:val="20"/>
              </w:rPr>
              <w:t>235</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67"/>
              <w:jc w:val="right"/>
              <w:rPr>
                <w:color w:val="auto"/>
                <w:sz w:val="20"/>
                <w:szCs w:val="20"/>
              </w:rPr>
            </w:pPr>
            <w:r w:rsidRPr="00EF689D">
              <w:rPr>
                <w:color w:val="auto"/>
                <w:sz w:val="20"/>
                <w:szCs w:val="20"/>
              </w:rPr>
              <w:t>275</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7"/>
              <w:jc w:val="right"/>
              <w:rPr>
                <w:color w:val="auto"/>
                <w:sz w:val="20"/>
                <w:szCs w:val="20"/>
              </w:rPr>
            </w:pPr>
            <w:r w:rsidRPr="00EF689D">
              <w:rPr>
                <w:color w:val="auto"/>
                <w:sz w:val="20"/>
                <w:szCs w:val="20"/>
              </w:rPr>
              <w:t>435</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27"/>
              <w:jc w:val="right"/>
              <w:rPr>
                <w:color w:val="auto"/>
                <w:sz w:val="20"/>
                <w:szCs w:val="20"/>
              </w:rPr>
            </w:pPr>
            <w:r w:rsidRPr="00EF689D">
              <w:rPr>
                <w:color w:val="auto"/>
                <w:sz w:val="20"/>
                <w:szCs w:val="20"/>
              </w:rPr>
              <w:t>390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ind w:hanging="43"/>
              <w:jc w:val="right"/>
              <w:rPr>
                <w:color w:val="auto"/>
                <w:sz w:val="20"/>
                <w:szCs w:val="20"/>
              </w:rPr>
            </w:pPr>
            <w:r w:rsidRPr="00EF689D">
              <w:rPr>
                <w:color w:val="auto"/>
                <w:sz w:val="20"/>
                <w:szCs w:val="20"/>
              </w:rPr>
              <w:t>1,570</w:t>
            </w:r>
          </w:p>
        </w:tc>
      </w:tr>
      <w:tr w:rsidR="00424C1D" w:rsidRPr="00EF689D" w:rsidTr="00424C1D">
        <w:tc>
          <w:tcPr>
            <w:tcW w:w="2660" w:type="dxa"/>
            <w:gridSpan w:val="2"/>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vertAlign w:val="superscript"/>
              </w:rPr>
            </w:pPr>
            <w:r w:rsidRPr="00EF689D">
              <w:rPr>
                <w:color w:val="auto"/>
                <w:sz w:val="20"/>
                <w:szCs w:val="20"/>
              </w:rPr>
              <w:t>Data centre domain spend</w:t>
            </w:r>
            <w:r w:rsidRPr="00EF689D">
              <w:rPr>
                <w:color w:val="auto"/>
                <w:sz w:val="20"/>
                <w:szCs w:val="20"/>
                <w:vertAlign w:val="superscript"/>
              </w:rPr>
              <w:t>1</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Run</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left="-64"/>
              <w:jc w:val="right"/>
              <w:rPr>
                <w:color w:val="auto"/>
                <w:sz w:val="20"/>
                <w:szCs w:val="20"/>
              </w:rPr>
            </w:pPr>
            <w:r w:rsidRPr="00EF689D">
              <w:rPr>
                <w:color w:val="auto"/>
                <w:sz w:val="20"/>
                <w:szCs w:val="20"/>
              </w:rPr>
              <w:t>15</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4"/>
              <w:jc w:val="right"/>
              <w:rPr>
                <w:color w:val="auto"/>
                <w:sz w:val="20"/>
                <w:szCs w:val="20"/>
              </w:rPr>
            </w:pPr>
            <w:r>
              <w:rPr>
                <w:color w:val="auto"/>
                <w:sz w:val="20"/>
                <w:szCs w:val="20"/>
              </w:rPr>
              <w:t>0</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67"/>
              <w:jc w:val="right"/>
              <w:rPr>
                <w:color w:val="auto"/>
                <w:sz w:val="20"/>
                <w:szCs w:val="20"/>
              </w:rPr>
            </w:pPr>
            <w:r w:rsidRPr="00EF689D">
              <w:rPr>
                <w:color w:val="auto"/>
                <w:sz w:val="20"/>
                <w:szCs w:val="20"/>
              </w:rPr>
              <w:t>15</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7"/>
              <w:jc w:val="right"/>
              <w:rPr>
                <w:color w:val="auto"/>
                <w:sz w:val="20"/>
                <w:szCs w:val="20"/>
              </w:rPr>
            </w:pPr>
            <w:r>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27"/>
              <w:jc w:val="right"/>
              <w:rPr>
                <w:color w:val="auto"/>
                <w:sz w:val="20"/>
                <w:szCs w:val="20"/>
              </w:rPr>
            </w:pPr>
            <w:r>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ind w:hanging="43"/>
              <w:jc w:val="right"/>
              <w:rPr>
                <w:color w:val="auto"/>
                <w:sz w:val="20"/>
                <w:szCs w:val="20"/>
              </w:rPr>
            </w:pPr>
            <w:r w:rsidRPr="00EF689D">
              <w:rPr>
                <w:color w:val="auto"/>
                <w:sz w:val="20"/>
                <w:szCs w:val="20"/>
              </w:rPr>
              <w:t>30</w:t>
            </w:r>
          </w:p>
        </w:tc>
      </w:tr>
      <w:tr w:rsidR="00424C1D" w:rsidRPr="00EF689D" w:rsidTr="00424C1D">
        <w:tc>
          <w:tcPr>
            <w:tcW w:w="2660" w:type="dxa"/>
            <w:gridSpan w:val="2"/>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vertAlign w:val="superscript"/>
              </w:rPr>
            </w:pPr>
            <w:r w:rsidRPr="00EF689D">
              <w:rPr>
                <w:color w:val="auto"/>
                <w:sz w:val="20"/>
                <w:szCs w:val="20"/>
              </w:rPr>
              <w:t>Edge network, technical debt</w:t>
            </w:r>
            <w:r w:rsidRPr="00EF689D">
              <w:rPr>
                <w:color w:val="auto"/>
                <w:sz w:val="20"/>
                <w:szCs w:val="20"/>
                <w:vertAlign w:val="superscript"/>
              </w:rPr>
              <w:t>2</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Run</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left="-64"/>
              <w:jc w:val="right"/>
              <w:rPr>
                <w:color w:val="auto"/>
                <w:sz w:val="20"/>
                <w:szCs w:val="20"/>
              </w:rPr>
            </w:pPr>
            <w:r w:rsidRPr="00EF689D">
              <w:rPr>
                <w:color w:val="auto"/>
                <w:sz w:val="20"/>
                <w:szCs w:val="20"/>
              </w:rPr>
              <w:t>760</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4"/>
              <w:jc w:val="right"/>
              <w:rPr>
                <w:color w:val="auto"/>
                <w:sz w:val="20"/>
                <w:szCs w:val="20"/>
              </w:rPr>
            </w:pPr>
            <w:r w:rsidRPr="00EF689D">
              <w:rPr>
                <w:color w:val="auto"/>
                <w:sz w:val="20"/>
                <w:szCs w:val="20"/>
              </w:rPr>
              <w:t>760</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67"/>
              <w:jc w:val="right"/>
              <w:rPr>
                <w:color w:val="auto"/>
                <w:sz w:val="20"/>
                <w:szCs w:val="20"/>
              </w:rPr>
            </w:pPr>
            <w:r w:rsidRPr="00EF689D">
              <w:rPr>
                <w:color w:val="auto"/>
                <w:sz w:val="20"/>
                <w:szCs w:val="20"/>
              </w:rPr>
              <w:t>760</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hanging="127"/>
              <w:jc w:val="right"/>
              <w:rPr>
                <w:color w:val="auto"/>
                <w:sz w:val="20"/>
                <w:szCs w:val="20"/>
              </w:rPr>
            </w:pPr>
            <w:r w:rsidRPr="00EF689D">
              <w:rPr>
                <w:color w:val="auto"/>
                <w:sz w:val="20"/>
                <w:szCs w:val="20"/>
              </w:rPr>
              <w:t>150</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ind w:left="-65" w:firstLine="38"/>
              <w:jc w:val="right"/>
              <w:rPr>
                <w:color w:val="auto"/>
                <w:sz w:val="20"/>
                <w:szCs w:val="20"/>
              </w:rPr>
            </w:pPr>
            <w:r w:rsidRPr="00EF689D">
              <w:rPr>
                <w:color w:val="auto"/>
                <w:sz w:val="20"/>
                <w:szCs w:val="20"/>
              </w:rPr>
              <w:t>150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ind w:hanging="43"/>
              <w:jc w:val="right"/>
              <w:rPr>
                <w:color w:val="auto"/>
                <w:sz w:val="20"/>
                <w:szCs w:val="20"/>
              </w:rPr>
            </w:pPr>
            <w:r w:rsidRPr="00EF689D">
              <w:rPr>
                <w:color w:val="auto"/>
                <w:sz w:val="20"/>
                <w:szCs w:val="20"/>
              </w:rPr>
              <w:t>2,580</w:t>
            </w:r>
          </w:p>
        </w:tc>
      </w:tr>
      <w:tr w:rsidR="00424C1D" w:rsidRPr="00EF689D" w:rsidTr="00424C1D">
        <w:tc>
          <w:tcPr>
            <w:tcW w:w="2660" w:type="dxa"/>
            <w:gridSpan w:val="2"/>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vertAlign w:val="superscript"/>
              </w:rPr>
            </w:pPr>
            <w:r w:rsidRPr="00EF689D">
              <w:rPr>
                <w:color w:val="auto"/>
                <w:sz w:val="20"/>
                <w:szCs w:val="20"/>
              </w:rPr>
              <w:t>Telephony: Analogue to VoIP</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Run</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700</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1,000</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300</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jc w:val="right"/>
              <w:rPr>
                <w:color w:val="auto"/>
                <w:sz w:val="20"/>
                <w:szCs w:val="20"/>
              </w:rPr>
            </w:pPr>
            <w:r w:rsidRPr="00EF689D">
              <w:rPr>
                <w:color w:val="auto"/>
                <w:sz w:val="20"/>
                <w:szCs w:val="20"/>
              </w:rPr>
              <w:t>2,000</w:t>
            </w:r>
          </w:p>
        </w:tc>
      </w:tr>
      <w:tr w:rsidR="00424C1D"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Enterprise &amp; server storage</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70</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85</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35</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100</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130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jc w:val="right"/>
              <w:rPr>
                <w:color w:val="auto"/>
                <w:sz w:val="20"/>
                <w:szCs w:val="20"/>
              </w:rPr>
            </w:pPr>
            <w:r w:rsidRPr="00EF689D">
              <w:rPr>
                <w:color w:val="auto"/>
                <w:sz w:val="20"/>
                <w:szCs w:val="20"/>
              </w:rPr>
              <w:t>420</w:t>
            </w:r>
          </w:p>
        </w:tc>
      </w:tr>
      <w:tr w:rsidR="00424C1D"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Additional file storage</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rPr>
                <w:color w:val="auto"/>
                <w:sz w:val="20"/>
                <w:szCs w:val="20"/>
              </w:rPr>
            </w:pPr>
            <w:r w:rsidRPr="00EF689D">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0</w:t>
            </w:r>
          </w:p>
        </w:tc>
        <w:tc>
          <w:tcPr>
            <w:tcW w:w="935"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400</w:t>
            </w:r>
          </w:p>
        </w:tc>
        <w:tc>
          <w:tcPr>
            <w:tcW w:w="911"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1,000</w:t>
            </w:r>
          </w:p>
        </w:tc>
        <w:tc>
          <w:tcPr>
            <w:tcW w:w="866" w:type="dxa"/>
            <w:tcBorders>
              <w:top w:val="single" w:sz="4" w:space="0" w:color="BFBFBF" w:themeColor="background1" w:themeShade="BF"/>
              <w:left w:val="nil"/>
              <w:bottom w:val="single" w:sz="4" w:space="0" w:color="BFBFBF" w:themeColor="background1" w:themeShade="BF"/>
              <w:right w:val="nil"/>
            </w:tcBorders>
          </w:tcPr>
          <w:p w:rsidR="00424C1D" w:rsidRPr="00EF689D" w:rsidRDefault="00424C1D"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424C1D" w:rsidRPr="00EF689D" w:rsidRDefault="00424C1D" w:rsidP="00424C1D">
            <w:pPr>
              <w:jc w:val="right"/>
              <w:rPr>
                <w:color w:val="auto"/>
                <w:sz w:val="20"/>
                <w:szCs w:val="20"/>
              </w:rPr>
            </w:pPr>
            <w:r w:rsidRPr="00EF689D">
              <w:rPr>
                <w:color w:val="auto"/>
                <w:sz w:val="20"/>
                <w:szCs w:val="20"/>
              </w:rPr>
              <w:t>1,400</w:t>
            </w:r>
          </w:p>
        </w:tc>
      </w:tr>
      <w:tr w:rsidR="00B7559A"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B7559A" w:rsidRPr="00EF689D" w:rsidRDefault="00B7559A" w:rsidP="00B7559A">
            <w:pPr>
              <w:rPr>
                <w:color w:val="auto"/>
                <w:sz w:val="20"/>
                <w:szCs w:val="20"/>
              </w:rPr>
            </w:pPr>
            <w:r w:rsidRPr="00EF689D">
              <w:rPr>
                <w:color w:val="auto"/>
                <w:sz w:val="20"/>
                <w:szCs w:val="20"/>
              </w:rPr>
              <w:t>Application file-store</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rPr>
                <w:color w:val="auto"/>
                <w:sz w:val="20"/>
                <w:szCs w:val="20"/>
              </w:rPr>
            </w:pPr>
            <w:r>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115</w:t>
            </w:r>
          </w:p>
        </w:tc>
        <w:tc>
          <w:tcPr>
            <w:tcW w:w="935"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911"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B7559A" w:rsidRPr="00EF689D" w:rsidRDefault="00B7559A" w:rsidP="00B7559A">
            <w:pPr>
              <w:jc w:val="right"/>
              <w:rPr>
                <w:color w:val="auto"/>
                <w:sz w:val="20"/>
                <w:szCs w:val="20"/>
              </w:rPr>
            </w:pPr>
            <w:r w:rsidRPr="00EF689D">
              <w:rPr>
                <w:color w:val="auto"/>
                <w:sz w:val="20"/>
                <w:szCs w:val="20"/>
              </w:rPr>
              <w:t>115</w:t>
            </w:r>
          </w:p>
        </w:tc>
      </w:tr>
      <w:tr w:rsidR="00B7559A"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B7559A" w:rsidRPr="00EF689D" w:rsidRDefault="00B7559A" w:rsidP="00B7559A">
            <w:pPr>
              <w:rPr>
                <w:color w:val="auto"/>
                <w:sz w:val="20"/>
                <w:szCs w:val="20"/>
              </w:rPr>
            </w:pPr>
            <w:r w:rsidRPr="00EF689D">
              <w:rPr>
                <w:color w:val="auto"/>
                <w:sz w:val="20"/>
                <w:szCs w:val="20"/>
              </w:rPr>
              <w:t>Infrastructure monitoring</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rPr>
                <w:color w:val="auto"/>
                <w:sz w:val="20"/>
                <w:szCs w:val="20"/>
              </w:rPr>
            </w:pPr>
            <w:r>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935"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160</w:t>
            </w:r>
          </w:p>
        </w:tc>
        <w:tc>
          <w:tcPr>
            <w:tcW w:w="911"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160</w:t>
            </w:r>
          </w:p>
        </w:tc>
        <w:tc>
          <w:tcPr>
            <w:tcW w:w="892"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B7559A" w:rsidRPr="00EF689D" w:rsidRDefault="00B7559A" w:rsidP="00B7559A">
            <w:pPr>
              <w:jc w:val="right"/>
              <w:rPr>
                <w:color w:val="auto"/>
                <w:sz w:val="20"/>
                <w:szCs w:val="20"/>
              </w:rPr>
            </w:pPr>
            <w:r w:rsidRPr="00EF689D">
              <w:rPr>
                <w:color w:val="auto"/>
                <w:sz w:val="20"/>
                <w:szCs w:val="20"/>
              </w:rPr>
              <w:t>320</w:t>
            </w:r>
          </w:p>
        </w:tc>
      </w:tr>
      <w:tr w:rsidR="00B7559A"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B7559A" w:rsidRPr="00EF689D" w:rsidRDefault="00B7559A" w:rsidP="00424C1D">
            <w:pPr>
              <w:rPr>
                <w:color w:val="auto"/>
                <w:sz w:val="20"/>
                <w:szCs w:val="20"/>
              </w:rPr>
            </w:pPr>
            <w:r w:rsidRPr="00EF689D">
              <w:rPr>
                <w:color w:val="auto"/>
                <w:sz w:val="20"/>
                <w:szCs w:val="20"/>
              </w:rPr>
              <w:t>Extend core network</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rPr>
                <w:color w:val="auto"/>
                <w:sz w:val="20"/>
                <w:szCs w:val="20"/>
              </w:rPr>
            </w:pPr>
            <w:r w:rsidRPr="00EF689D">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650</w:t>
            </w:r>
          </w:p>
        </w:tc>
        <w:tc>
          <w:tcPr>
            <w:tcW w:w="935"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750</w:t>
            </w:r>
          </w:p>
        </w:tc>
        <w:tc>
          <w:tcPr>
            <w:tcW w:w="911"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B7559A" w:rsidRPr="00EF689D" w:rsidRDefault="00B7559A" w:rsidP="00424C1D">
            <w:pPr>
              <w:jc w:val="right"/>
              <w:rPr>
                <w:color w:val="auto"/>
                <w:sz w:val="20"/>
                <w:szCs w:val="20"/>
              </w:rPr>
            </w:pPr>
            <w:r w:rsidRPr="00EF689D">
              <w:rPr>
                <w:color w:val="auto"/>
                <w:sz w:val="20"/>
                <w:szCs w:val="20"/>
              </w:rPr>
              <w:t>1,400</w:t>
            </w:r>
          </w:p>
        </w:tc>
      </w:tr>
      <w:tr w:rsidR="00B7559A"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B7559A" w:rsidRPr="00EF689D" w:rsidRDefault="00B7559A" w:rsidP="00B7559A">
            <w:pPr>
              <w:rPr>
                <w:color w:val="auto"/>
                <w:sz w:val="20"/>
                <w:szCs w:val="20"/>
              </w:rPr>
            </w:pPr>
            <w:r w:rsidRPr="00EF689D">
              <w:rPr>
                <w:color w:val="auto"/>
                <w:sz w:val="20"/>
                <w:szCs w:val="20"/>
              </w:rPr>
              <w:t>Network capacity upgrades</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rPr>
                <w:color w:val="auto"/>
                <w:sz w:val="20"/>
                <w:szCs w:val="20"/>
              </w:rPr>
            </w:pPr>
            <w:r w:rsidRPr="00EF689D">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75</w:t>
            </w:r>
          </w:p>
        </w:tc>
        <w:tc>
          <w:tcPr>
            <w:tcW w:w="935"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75</w:t>
            </w:r>
          </w:p>
        </w:tc>
        <w:tc>
          <w:tcPr>
            <w:tcW w:w="911"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75</w:t>
            </w:r>
          </w:p>
        </w:tc>
        <w:tc>
          <w:tcPr>
            <w:tcW w:w="892"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B7559A">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B7559A" w:rsidRPr="00EF689D" w:rsidRDefault="00B7559A" w:rsidP="00B7559A">
            <w:pPr>
              <w:jc w:val="right"/>
              <w:rPr>
                <w:color w:val="auto"/>
                <w:sz w:val="20"/>
                <w:szCs w:val="20"/>
              </w:rPr>
            </w:pPr>
            <w:r w:rsidRPr="00EF689D">
              <w:rPr>
                <w:color w:val="auto"/>
                <w:sz w:val="20"/>
                <w:szCs w:val="20"/>
              </w:rPr>
              <w:t>225</w:t>
            </w:r>
          </w:p>
        </w:tc>
      </w:tr>
      <w:tr w:rsidR="00B7559A"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B7559A" w:rsidRPr="00EF689D" w:rsidRDefault="00B7559A" w:rsidP="00424C1D">
            <w:pPr>
              <w:rPr>
                <w:color w:val="auto"/>
                <w:sz w:val="20"/>
                <w:szCs w:val="20"/>
              </w:rPr>
            </w:pPr>
            <w:r w:rsidRPr="00EF689D">
              <w:rPr>
                <w:color w:val="auto"/>
                <w:sz w:val="20"/>
                <w:szCs w:val="20"/>
              </w:rPr>
              <w:t>Wi-Fi coverage</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rPr>
                <w:color w:val="auto"/>
                <w:sz w:val="20"/>
                <w:szCs w:val="20"/>
              </w:rPr>
            </w:pPr>
            <w:r w:rsidRPr="00EF689D">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80</w:t>
            </w:r>
          </w:p>
        </w:tc>
        <w:tc>
          <w:tcPr>
            <w:tcW w:w="935"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80</w:t>
            </w:r>
          </w:p>
        </w:tc>
        <w:tc>
          <w:tcPr>
            <w:tcW w:w="911"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80</w:t>
            </w:r>
          </w:p>
        </w:tc>
        <w:tc>
          <w:tcPr>
            <w:tcW w:w="892"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B7559A" w:rsidRPr="00EF689D" w:rsidRDefault="00B7559A" w:rsidP="00424C1D">
            <w:pPr>
              <w:jc w:val="right"/>
              <w:rPr>
                <w:color w:val="auto"/>
                <w:sz w:val="20"/>
                <w:szCs w:val="20"/>
              </w:rPr>
            </w:pPr>
            <w:r w:rsidRPr="00EF689D">
              <w:rPr>
                <w:color w:val="auto"/>
                <w:sz w:val="20"/>
                <w:szCs w:val="20"/>
              </w:rPr>
              <w:t>240</w:t>
            </w:r>
          </w:p>
        </w:tc>
      </w:tr>
      <w:tr w:rsidR="00B7559A"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B7559A" w:rsidRPr="00EF689D" w:rsidRDefault="00B7559A" w:rsidP="00424C1D">
            <w:pPr>
              <w:rPr>
                <w:color w:val="auto"/>
                <w:sz w:val="20"/>
                <w:szCs w:val="20"/>
              </w:rPr>
            </w:pPr>
            <w:r w:rsidRPr="00EF689D">
              <w:rPr>
                <w:color w:val="auto"/>
                <w:sz w:val="20"/>
                <w:szCs w:val="20"/>
              </w:rPr>
              <w:t>Edge coverage re Estates</w:t>
            </w:r>
            <w:r>
              <w:rPr>
                <w:color w:val="auto"/>
                <w:sz w:val="20"/>
                <w:szCs w:val="20"/>
                <w:vertAlign w:val="superscript"/>
              </w:rPr>
              <w:t>3</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rPr>
                <w:color w:val="auto"/>
                <w:sz w:val="20"/>
                <w:szCs w:val="20"/>
              </w:rPr>
            </w:pPr>
            <w:r w:rsidRPr="00EF689D">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935"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911"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B7559A" w:rsidRPr="00EF689D" w:rsidRDefault="00B7559A"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B7559A" w:rsidRPr="00EF689D" w:rsidRDefault="00B7559A" w:rsidP="00424C1D">
            <w:pPr>
              <w:jc w:val="right"/>
              <w:rPr>
                <w:color w:val="auto"/>
                <w:sz w:val="20"/>
                <w:szCs w:val="20"/>
              </w:rPr>
            </w:pPr>
            <w:r w:rsidRPr="00EF689D">
              <w:rPr>
                <w:color w:val="auto"/>
                <w:sz w:val="20"/>
                <w:szCs w:val="20"/>
              </w:rPr>
              <w:t>0</w:t>
            </w:r>
          </w:p>
        </w:tc>
      </w:tr>
      <w:tr w:rsidR="00E53F86" w:rsidRPr="00EF689D" w:rsidTr="006563B1">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6563B1">
            <w:pPr>
              <w:rPr>
                <w:color w:val="auto"/>
                <w:sz w:val="20"/>
                <w:szCs w:val="20"/>
              </w:rPr>
            </w:pPr>
            <w:r w:rsidRPr="00EF689D">
              <w:rPr>
                <w:color w:val="auto"/>
                <w:sz w:val="20"/>
                <w:szCs w:val="20"/>
              </w:rPr>
              <w:t>Strengthen network security</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rPr>
                <w:color w:val="auto"/>
                <w:sz w:val="20"/>
                <w:szCs w:val="20"/>
              </w:rPr>
            </w:pPr>
            <w:r>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200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400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6563B1">
            <w:pPr>
              <w:jc w:val="right"/>
              <w:rPr>
                <w:color w:val="auto"/>
                <w:sz w:val="20"/>
                <w:szCs w:val="20"/>
              </w:rPr>
            </w:pPr>
            <w:r w:rsidRPr="00EF689D">
              <w:rPr>
                <w:color w:val="auto"/>
                <w:sz w:val="20"/>
                <w:szCs w:val="20"/>
              </w:rPr>
              <w:t>600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6563B1">
            <w:pPr>
              <w:rPr>
                <w:color w:val="auto"/>
                <w:sz w:val="20"/>
                <w:szCs w:val="20"/>
              </w:rPr>
            </w:pPr>
            <w:r w:rsidRPr="00EF689D">
              <w:rPr>
                <w:color w:val="auto"/>
                <w:sz w:val="20"/>
                <w:szCs w:val="20"/>
              </w:rPr>
              <w:t>Data-centre network resilience</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rPr>
                <w:color w:val="auto"/>
                <w:sz w:val="20"/>
                <w:szCs w:val="20"/>
              </w:rPr>
            </w:pPr>
            <w:r>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70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50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50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6563B1">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6563B1">
            <w:pPr>
              <w:jc w:val="right"/>
              <w:rPr>
                <w:color w:val="auto"/>
                <w:sz w:val="20"/>
                <w:szCs w:val="20"/>
              </w:rPr>
            </w:pPr>
            <w:r w:rsidRPr="00EF689D">
              <w:rPr>
                <w:color w:val="auto"/>
                <w:sz w:val="20"/>
                <w:szCs w:val="20"/>
              </w:rPr>
              <w:t>170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vertAlign w:val="superscript"/>
              </w:rPr>
            </w:pPr>
            <w:r w:rsidRPr="00EF689D">
              <w:rPr>
                <w:color w:val="auto"/>
                <w:sz w:val="20"/>
                <w:szCs w:val="20"/>
              </w:rPr>
              <w:t>Research Data at JCMB</w:t>
            </w:r>
            <w:r>
              <w:rPr>
                <w:color w:val="auto"/>
                <w:sz w:val="20"/>
                <w:szCs w:val="20"/>
                <w:vertAlign w:val="superscript"/>
              </w:rPr>
              <w:t>4</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Grow</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vertAlign w:val="superscript"/>
              </w:rPr>
            </w:pPr>
            <w:r w:rsidRPr="00EF689D">
              <w:rPr>
                <w:color w:val="auto"/>
                <w:sz w:val="20"/>
                <w:szCs w:val="20"/>
              </w:rPr>
              <w:t>Apps to user devices</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211</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49</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260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Desktop virtualisation</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52</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13</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65</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Private cloud provisioning</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100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100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200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Data science services</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300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300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450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450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450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1,950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Telephony: Soft Phones</w:t>
            </w:r>
            <w:r>
              <w:rPr>
                <w:color w:val="auto"/>
                <w:sz w:val="20"/>
                <w:szCs w:val="20"/>
                <w:vertAlign w:val="superscript"/>
              </w:rPr>
              <w:t>5</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Unified communications</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1,000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1,000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2,000</w:t>
            </w:r>
          </w:p>
        </w:tc>
      </w:tr>
      <w:tr w:rsidR="00E53F86" w:rsidRPr="00EF689D" w:rsidTr="00424C1D">
        <w:tc>
          <w:tcPr>
            <w:tcW w:w="2571" w:type="dxa"/>
            <w:tcBorders>
              <w:top w:val="single" w:sz="4" w:space="0" w:color="BFBFBF" w:themeColor="background1" w:themeShade="BF"/>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Increase Wi-Fi density</w:t>
            </w:r>
          </w:p>
        </w:tc>
        <w:tc>
          <w:tcPr>
            <w:tcW w:w="806"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30</w:t>
            </w:r>
          </w:p>
        </w:tc>
        <w:tc>
          <w:tcPr>
            <w:tcW w:w="935"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30</w:t>
            </w:r>
          </w:p>
        </w:tc>
        <w:tc>
          <w:tcPr>
            <w:tcW w:w="911"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30</w:t>
            </w:r>
          </w:p>
        </w:tc>
        <w:tc>
          <w:tcPr>
            <w:tcW w:w="892"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30</w:t>
            </w:r>
          </w:p>
        </w:tc>
        <w:tc>
          <w:tcPr>
            <w:tcW w:w="866" w:type="dxa"/>
            <w:tcBorders>
              <w:top w:val="single" w:sz="4" w:space="0" w:color="BFBFBF" w:themeColor="background1" w:themeShade="BF"/>
              <w:left w:val="nil"/>
              <w:bottom w:val="single" w:sz="4" w:space="0" w:color="BFBFBF" w:themeColor="background1" w:themeShade="BF"/>
              <w:right w:val="nil"/>
            </w:tcBorders>
          </w:tcPr>
          <w:p w:rsidR="00E53F86" w:rsidRPr="00EF689D" w:rsidRDefault="00E53F86" w:rsidP="00424C1D">
            <w:pPr>
              <w:jc w:val="right"/>
              <w:rPr>
                <w:color w:val="auto"/>
                <w:sz w:val="20"/>
                <w:szCs w:val="20"/>
              </w:rPr>
            </w:pPr>
            <w:r w:rsidRPr="00EF689D">
              <w:rPr>
                <w:color w:val="auto"/>
                <w:sz w:val="20"/>
                <w:szCs w:val="20"/>
              </w:rPr>
              <w:t>30</w:t>
            </w:r>
          </w:p>
        </w:tc>
        <w:tc>
          <w:tcPr>
            <w:tcW w:w="1058" w:type="dxa"/>
            <w:tcBorders>
              <w:top w:val="single" w:sz="4" w:space="0" w:color="BFBFBF" w:themeColor="background1" w:themeShade="BF"/>
              <w:left w:val="nil"/>
              <w:bottom w:val="single" w:sz="4" w:space="0" w:color="BFBFBF" w:themeColor="background1" w:themeShade="BF"/>
            </w:tcBorders>
          </w:tcPr>
          <w:p w:rsidR="00E53F86" w:rsidRPr="00EF689D" w:rsidRDefault="00E53F86" w:rsidP="00424C1D">
            <w:pPr>
              <w:jc w:val="right"/>
              <w:rPr>
                <w:color w:val="auto"/>
                <w:sz w:val="20"/>
                <w:szCs w:val="20"/>
              </w:rPr>
            </w:pPr>
            <w:r w:rsidRPr="00EF689D">
              <w:rPr>
                <w:color w:val="auto"/>
                <w:sz w:val="20"/>
                <w:szCs w:val="20"/>
              </w:rPr>
              <w:t>150</w:t>
            </w:r>
          </w:p>
        </w:tc>
      </w:tr>
      <w:tr w:rsidR="00E53F86" w:rsidRPr="00EF689D" w:rsidTr="006563B1">
        <w:tc>
          <w:tcPr>
            <w:tcW w:w="2571" w:type="dxa"/>
            <w:tcBorders>
              <w:top w:val="single" w:sz="4" w:space="0" w:color="BFBFBF" w:themeColor="background1" w:themeShade="BF"/>
              <w:right w:val="nil"/>
            </w:tcBorders>
          </w:tcPr>
          <w:p w:rsidR="00E53F86" w:rsidRPr="00EF689D" w:rsidRDefault="00E53F86" w:rsidP="00424C1D">
            <w:pPr>
              <w:rPr>
                <w:color w:val="auto"/>
                <w:sz w:val="20"/>
                <w:szCs w:val="20"/>
                <w:vertAlign w:val="superscript"/>
              </w:rPr>
            </w:pPr>
            <w:r w:rsidRPr="00EF689D">
              <w:rPr>
                <w:color w:val="auto"/>
                <w:sz w:val="20"/>
                <w:szCs w:val="20"/>
              </w:rPr>
              <w:t xml:space="preserve"> External wireless</w:t>
            </w:r>
          </w:p>
        </w:tc>
        <w:tc>
          <w:tcPr>
            <w:tcW w:w="806" w:type="dxa"/>
            <w:gridSpan w:val="2"/>
            <w:tcBorders>
              <w:top w:val="single" w:sz="4" w:space="0" w:color="BFBFBF" w:themeColor="background1" w:themeShade="BF"/>
              <w:left w:val="nil"/>
              <w:right w:val="nil"/>
            </w:tcBorders>
          </w:tcPr>
          <w:p w:rsidR="00E53F86" w:rsidRPr="00EF689D" w:rsidRDefault="00E53F86" w:rsidP="00424C1D">
            <w:pPr>
              <w:rPr>
                <w:color w:val="auto"/>
                <w:sz w:val="20"/>
                <w:szCs w:val="20"/>
              </w:rPr>
            </w:pPr>
            <w:r w:rsidRPr="00EF689D">
              <w:rPr>
                <w:color w:val="auto"/>
                <w:sz w:val="20"/>
                <w:szCs w:val="20"/>
              </w:rPr>
              <w:t>T/form</w:t>
            </w:r>
          </w:p>
        </w:tc>
        <w:tc>
          <w:tcPr>
            <w:tcW w:w="1000" w:type="dxa"/>
            <w:gridSpan w:val="2"/>
            <w:tcBorders>
              <w:top w:val="single" w:sz="4" w:space="0" w:color="BFBFBF" w:themeColor="background1" w:themeShade="BF"/>
              <w:left w:val="nil"/>
              <w:right w:val="nil"/>
            </w:tcBorders>
          </w:tcPr>
          <w:p w:rsidR="00E53F86" w:rsidRPr="00EF689D" w:rsidRDefault="00E53F86" w:rsidP="00424C1D">
            <w:pPr>
              <w:jc w:val="right"/>
              <w:rPr>
                <w:color w:val="auto"/>
                <w:sz w:val="20"/>
                <w:szCs w:val="20"/>
              </w:rPr>
            </w:pPr>
            <w:r w:rsidRPr="00EF689D">
              <w:rPr>
                <w:color w:val="auto"/>
                <w:sz w:val="20"/>
                <w:szCs w:val="20"/>
              </w:rPr>
              <w:t>280</w:t>
            </w:r>
          </w:p>
        </w:tc>
        <w:tc>
          <w:tcPr>
            <w:tcW w:w="935" w:type="dxa"/>
            <w:tcBorders>
              <w:top w:val="single" w:sz="4" w:space="0" w:color="BFBFBF" w:themeColor="background1" w:themeShade="BF"/>
              <w:left w:val="nil"/>
              <w:right w:val="nil"/>
            </w:tcBorders>
          </w:tcPr>
          <w:p w:rsidR="00E53F86" w:rsidRPr="00EF689D" w:rsidRDefault="00E53F86" w:rsidP="00424C1D">
            <w:pPr>
              <w:jc w:val="right"/>
              <w:rPr>
                <w:color w:val="auto"/>
                <w:sz w:val="20"/>
                <w:szCs w:val="20"/>
              </w:rPr>
            </w:pPr>
            <w:r w:rsidRPr="00EF689D">
              <w:rPr>
                <w:color w:val="auto"/>
                <w:sz w:val="20"/>
                <w:szCs w:val="20"/>
              </w:rPr>
              <w:t>280</w:t>
            </w:r>
          </w:p>
        </w:tc>
        <w:tc>
          <w:tcPr>
            <w:tcW w:w="911" w:type="dxa"/>
            <w:tcBorders>
              <w:top w:val="single" w:sz="4" w:space="0" w:color="BFBFBF" w:themeColor="background1" w:themeShade="BF"/>
              <w:left w:val="nil"/>
              <w:right w:val="nil"/>
            </w:tcBorders>
          </w:tcPr>
          <w:p w:rsidR="00E53F86" w:rsidRPr="00EF689D" w:rsidRDefault="00E53F86" w:rsidP="00424C1D">
            <w:pPr>
              <w:jc w:val="right"/>
              <w:rPr>
                <w:color w:val="auto"/>
                <w:sz w:val="20"/>
                <w:szCs w:val="20"/>
              </w:rPr>
            </w:pPr>
            <w:r w:rsidRPr="00EF689D">
              <w:rPr>
                <w:color w:val="auto"/>
                <w:sz w:val="20"/>
                <w:szCs w:val="20"/>
              </w:rPr>
              <w:t>280</w:t>
            </w:r>
          </w:p>
        </w:tc>
        <w:tc>
          <w:tcPr>
            <w:tcW w:w="892" w:type="dxa"/>
            <w:tcBorders>
              <w:top w:val="single" w:sz="4" w:space="0" w:color="BFBFBF" w:themeColor="background1" w:themeShade="BF"/>
              <w:left w:val="nil"/>
              <w:right w:val="nil"/>
            </w:tcBorders>
          </w:tcPr>
          <w:p w:rsidR="00E53F86" w:rsidRPr="00EF689D" w:rsidRDefault="00E53F86" w:rsidP="00424C1D">
            <w:pPr>
              <w:jc w:val="right"/>
              <w:rPr>
                <w:color w:val="auto"/>
                <w:sz w:val="20"/>
                <w:szCs w:val="20"/>
              </w:rPr>
            </w:pPr>
            <w:r w:rsidRPr="00EF689D">
              <w:rPr>
                <w:color w:val="auto"/>
                <w:sz w:val="20"/>
                <w:szCs w:val="20"/>
              </w:rPr>
              <w:t>280</w:t>
            </w:r>
          </w:p>
        </w:tc>
        <w:tc>
          <w:tcPr>
            <w:tcW w:w="866" w:type="dxa"/>
            <w:tcBorders>
              <w:top w:val="single" w:sz="4" w:space="0" w:color="BFBFBF" w:themeColor="background1" w:themeShade="BF"/>
              <w:left w:val="nil"/>
              <w:right w:val="nil"/>
            </w:tcBorders>
          </w:tcPr>
          <w:p w:rsidR="00E53F86" w:rsidRPr="00EF689D" w:rsidRDefault="00E53F86" w:rsidP="00424C1D">
            <w:pPr>
              <w:jc w:val="right"/>
              <w:rPr>
                <w:color w:val="auto"/>
                <w:sz w:val="20"/>
                <w:szCs w:val="20"/>
              </w:rPr>
            </w:pPr>
            <w:r w:rsidRPr="00EF689D">
              <w:rPr>
                <w:color w:val="auto"/>
                <w:sz w:val="20"/>
                <w:szCs w:val="20"/>
              </w:rPr>
              <w:t>280</w:t>
            </w:r>
          </w:p>
        </w:tc>
        <w:tc>
          <w:tcPr>
            <w:tcW w:w="1058" w:type="dxa"/>
            <w:tcBorders>
              <w:top w:val="single" w:sz="4" w:space="0" w:color="BFBFBF" w:themeColor="background1" w:themeShade="BF"/>
              <w:left w:val="nil"/>
            </w:tcBorders>
          </w:tcPr>
          <w:p w:rsidR="00E53F86" w:rsidRPr="00EF689D" w:rsidRDefault="00E53F86" w:rsidP="00424C1D">
            <w:pPr>
              <w:jc w:val="right"/>
              <w:rPr>
                <w:color w:val="auto"/>
                <w:sz w:val="20"/>
                <w:szCs w:val="20"/>
              </w:rPr>
            </w:pPr>
            <w:r w:rsidRPr="00EF689D">
              <w:rPr>
                <w:color w:val="auto"/>
                <w:sz w:val="20"/>
                <w:szCs w:val="20"/>
              </w:rPr>
              <w:t>1,400</w:t>
            </w:r>
          </w:p>
        </w:tc>
      </w:tr>
      <w:tr w:rsidR="00E53F86" w:rsidRPr="00EF689D" w:rsidTr="006563B1">
        <w:tc>
          <w:tcPr>
            <w:tcW w:w="2571" w:type="dxa"/>
            <w:tcBorders>
              <w:right w:val="nil"/>
            </w:tcBorders>
          </w:tcPr>
          <w:p w:rsidR="00E53F86" w:rsidRPr="00EF689D" w:rsidRDefault="00E53F86" w:rsidP="00424C1D">
            <w:pPr>
              <w:rPr>
                <w:color w:val="auto"/>
                <w:sz w:val="20"/>
                <w:szCs w:val="20"/>
              </w:rPr>
            </w:pPr>
            <w:r w:rsidRPr="00EF689D">
              <w:rPr>
                <w:b/>
                <w:color w:val="auto"/>
                <w:sz w:val="20"/>
                <w:szCs w:val="20"/>
              </w:rPr>
              <w:t>Total Project expenditure</w:t>
            </w:r>
          </w:p>
        </w:tc>
        <w:tc>
          <w:tcPr>
            <w:tcW w:w="806" w:type="dxa"/>
            <w:gridSpan w:val="2"/>
            <w:tcBorders>
              <w:left w:val="nil"/>
              <w:right w:val="nil"/>
            </w:tcBorders>
          </w:tcPr>
          <w:p w:rsidR="00E53F86" w:rsidRPr="00EF689D" w:rsidRDefault="00E53F86" w:rsidP="00424C1D">
            <w:pPr>
              <w:rPr>
                <w:color w:val="auto"/>
                <w:sz w:val="20"/>
                <w:szCs w:val="20"/>
              </w:rPr>
            </w:pPr>
          </w:p>
        </w:tc>
        <w:tc>
          <w:tcPr>
            <w:tcW w:w="1000" w:type="dxa"/>
            <w:gridSpan w:val="2"/>
            <w:tcBorders>
              <w:left w:val="nil"/>
              <w:right w:val="nil"/>
            </w:tcBorders>
          </w:tcPr>
          <w:p w:rsidR="00E53F86" w:rsidRPr="00EF689D" w:rsidRDefault="00E53F86" w:rsidP="00424C1D">
            <w:pPr>
              <w:jc w:val="right"/>
              <w:rPr>
                <w:color w:val="auto"/>
                <w:sz w:val="20"/>
                <w:szCs w:val="20"/>
              </w:rPr>
            </w:pPr>
            <w:r w:rsidRPr="00EF689D">
              <w:rPr>
                <w:b/>
                <w:color w:val="auto"/>
                <w:sz w:val="20"/>
                <w:szCs w:val="20"/>
              </w:rPr>
              <w:t>4,213</w:t>
            </w:r>
          </w:p>
        </w:tc>
        <w:tc>
          <w:tcPr>
            <w:tcW w:w="935" w:type="dxa"/>
            <w:tcBorders>
              <w:left w:val="nil"/>
              <w:right w:val="nil"/>
            </w:tcBorders>
          </w:tcPr>
          <w:p w:rsidR="00E53F86" w:rsidRPr="00EF689D" w:rsidRDefault="00E53F86" w:rsidP="00424C1D">
            <w:pPr>
              <w:jc w:val="right"/>
              <w:rPr>
                <w:color w:val="auto"/>
                <w:sz w:val="20"/>
                <w:szCs w:val="20"/>
              </w:rPr>
            </w:pPr>
            <w:r w:rsidRPr="00EF689D">
              <w:rPr>
                <w:b/>
                <w:color w:val="auto"/>
                <w:sz w:val="20"/>
                <w:szCs w:val="20"/>
              </w:rPr>
              <w:t>5,987</w:t>
            </w:r>
          </w:p>
        </w:tc>
        <w:tc>
          <w:tcPr>
            <w:tcW w:w="911" w:type="dxa"/>
            <w:tcBorders>
              <w:left w:val="nil"/>
              <w:right w:val="nil"/>
            </w:tcBorders>
          </w:tcPr>
          <w:p w:rsidR="00E53F86" w:rsidRPr="00EF689D" w:rsidRDefault="00E53F86" w:rsidP="00424C1D">
            <w:pPr>
              <w:jc w:val="right"/>
              <w:rPr>
                <w:color w:val="auto"/>
                <w:sz w:val="20"/>
                <w:szCs w:val="20"/>
              </w:rPr>
            </w:pPr>
            <w:r w:rsidRPr="00EF689D">
              <w:rPr>
                <w:b/>
                <w:color w:val="auto"/>
                <w:sz w:val="20"/>
                <w:szCs w:val="20"/>
              </w:rPr>
              <w:t>4,130</w:t>
            </w:r>
          </w:p>
        </w:tc>
        <w:tc>
          <w:tcPr>
            <w:tcW w:w="892" w:type="dxa"/>
            <w:tcBorders>
              <w:left w:val="nil"/>
              <w:right w:val="nil"/>
            </w:tcBorders>
          </w:tcPr>
          <w:p w:rsidR="00E53F86" w:rsidRPr="00EF689D" w:rsidRDefault="00E53F86" w:rsidP="00424C1D">
            <w:pPr>
              <w:jc w:val="right"/>
              <w:rPr>
                <w:color w:val="auto"/>
                <w:sz w:val="20"/>
                <w:szCs w:val="20"/>
              </w:rPr>
            </w:pPr>
            <w:r w:rsidRPr="00EF689D">
              <w:rPr>
                <w:b/>
                <w:color w:val="auto"/>
                <w:sz w:val="20"/>
                <w:szCs w:val="20"/>
              </w:rPr>
              <w:t>4,065</w:t>
            </w:r>
          </w:p>
        </w:tc>
        <w:tc>
          <w:tcPr>
            <w:tcW w:w="866" w:type="dxa"/>
            <w:tcBorders>
              <w:left w:val="nil"/>
              <w:right w:val="nil"/>
            </w:tcBorders>
          </w:tcPr>
          <w:p w:rsidR="00E53F86" w:rsidRPr="00EF689D" w:rsidRDefault="00E53F86" w:rsidP="00424C1D">
            <w:pPr>
              <w:jc w:val="right"/>
              <w:rPr>
                <w:color w:val="auto"/>
                <w:sz w:val="20"/>
                <w:szCs w:val="20"/>
              </w:rPr>
            </w:pPr>
            <w:r w:rsidRPr="00EF689D">
              <w:rPr>
                <w:b/>
                <w:color w:val="auto"/>
                <w:sz w:val="20"/>
                <w:szCs w:val="20"/>
              </w:rPr>
              <w:t>2,850</w:t>
            </w:r>
          </w:p>
        </w:tc>
        <w:tc>
          <w:tcPr>
            <w:tcW w:w="1058" w:type="dxa"/>
            <w:tcBorders>
              <w:left w:val="nil"/>
            </w:tcBorders>
          </w:tcPr>
          <w:p w:rsidR="00E53F86" w:rsidRPr="00EF689D" w:rsidRDefault="00E53F86" w:rsidP="00424C1D">
            <w:pPr>
              <w:jc w:val="right"/>
              <w:rPr>
                <w:color w:val="auto"/>
                <w:sz w:val="20"/>
                <w:szCs w:val="20"/>
              </w:rPr>
            </w:pPr>
            <w:r w:rsidRPr="00EF689D">
              <w:rPr>
                <w:b/>
                <w:color w:val="auto"/>
                <w:sz w:val="20"/>
                <w:szCs w:val="20"/>
              </w:rPr>
              <w:t>21,245</w:t>
            </w:r>
          </w:p>
        </w:tc>
      </w:tr>
    </w:tbl>
    <w:p w:rsidR="00E53F86" w:rsidRDefault="00E53F86" w:rsidP="00424C1D">
      <w:pPr>
        <w:spacing w:after="0" w:line="240" w:lineRule="auto"/>
        <w:rPr>
          <w:b/>
          <w:color w:val="auto"/>
        </w:rPr>
      </w:pPr>
    </w:p>
    <w:p w:rsidR="00424C1D" w:rsidRPr="00EF689D" w:rsidRDefault="00424C1D" w:rsidP="00424C1D">
      <w:pPr>
        <w:spacing w:after="0" w:line="240" w:lineRule="auto"/>
        <w:rPr>
          <w:b/>
          <w:color w:val="auto"/>
        </w:rPr>
      </w:pPr>
      <w:r w:rsidRPr="00EF689D">
        <w:rPr>
          <w:b/>
          <w:color w:val="auto"/>
        </w:rPr>
        <w:t>Notes</w:t>
      </w:r>
    </w:p>
    <w:p w:rsidR="00424C1D" w:rsidRPr="00EF689D" w:rsidRDefault="00424C1D" w:rsidP="00424C1D">
      <w:pPr>
        <w:numPr>
          <w:ilvl w:val="0"/>
          <w:numId w:val="10"/>
        </w:numPr>
        <w:tabs>
          <w:tab w:val="clear" w:pos="720"/>
        </w:tabs>
        <w:suppressAutoHyphens w:val="0"/>
        <w:rPr>
          <w:rFonts w:eastAsiaTheme="majorEastAsia" w:cstheme="majorBidi"/>
          <w:bCs/>
          <w:iCs/>
          <w:color w:val="auto"/>
        </w:rPr>
      </w:pPr>
      <w:r w:rsidRPr="00EF689D">
        <w:rPr>
          <w:rFonts w:eastAsiaTheme="majorEastAsia" w:cstheme="majorBidi"/>
          <w:bCs/>
          <w:iCs/>
          <w:color w:val="auto"/>
        </w:rPr>
        <w:t xml:space="preserve">We have included in the projects the Run activity identified in the previous version of the roadmap. These are equipment costs that are driven by our replacement cycles and are needed to maintain our current infrastructure. The list of projects that make up these ‘projects’ are included in Appendix </w:t>
      </w:r>
      <w:r>
        <w:rPr>
          <w:rFonts w:eastAsiaTheme="majorEastAsia" w:cstheme="majorBidi"/>
          <w:bCs/>
          <w:iCs/>
          <w:color w:val="auto"/>
        </w:rPr>
        <w:t>B</w:t>
      </w:r>
      <w:r w:rsidRPr="00EF689D">
        <w:rPr>
          <w:rFonts w:eastAsiaTheme="majorEastAsia" w:cstheme="majorBidi"/>
          <w:bCs/>
          <w:iCs/>
          <w:color w:val="auto"/>
        </w:rPr>
        <w:t xml:space="preserve">  </w:t>
      </w:r>
    </w:p>
    <w:p w:rsidR="00424C1D" w:rsidRDefault="00424C1D" w:rsidP="00424C1D">
      <w:pPr>
        <w:numPr>
          <w:ilvl w:val="0"/>
          <w:numId w:val="10"/>
        </w:numPr>
        <w:tabs>
          <w:tab w:val="clear" w:pos="720"/>
        </w:tabs>
        <w:suppressAutoHyphens w:val="0"/>
        <w:rPr>
          <w:rFonts w:eastAsiaTheme="majorEastAsia" w:cstheme="majorBidi"/>
          <w:bCs/>
          <w:iCs/>
          <w:color w:val="auto"/>
        </w:rPr>
      </w:pPr>
      <w:r w:rsidRPr="00EF689D">
        <w:rPr>
          <w:rFonts w:eastAsiaTheme="majorEastAsia" w:cstheme="majorBidi"/>
          <w:bCs/>
          <w:iCs/>
          <w:color w:val="auto"/>
        </w:rPr>
        <w:t xml:space="preserve">The edge network contains a significant element of technical debt which we intend to repay over the next 3 years. </w:t>
      </w:r>
    </w:p>
    <w:p w:rsidR="00424C1D" w:rsidRPr="00443D03" w:rsidRDefault="00424C1D" w:rsidP="00424C1D">
      <w:pPr>
        <w:numPr>
          <w:ilvl w:val="0"/>
          <w:numId w:val="10"/>
        </w:numPr>
        <w:tabs>
          <w:tab w:val="clear" w:pos="720"/>
        </w:tabs>
        <w:suppressAutoHyphens w:val="0"/>
        <w:rPr>
          <w:color w:val="auto"/>
        </w:rPr>
      </w:pPr>
      <w:r w:rsidRPr="00443D03">
        <w:rPr>
          <w:rFonts w:eastAsiaTheme="majorEastAsia" w:cstheme="majorBidi"/>
          <w:bCs/>
          <w:iCs/>
          <w:color w:val="auto"/>
        </w:rPr>
        <w:t xml:space="preserve">We have not presented any </w:t>
      </w:r>
      <w:r>
        <w:rPr>
          <w:rFonts w:eastAsiaTheme="majorEastAsia" w:cstheme="majorBidi"/>
          <w:bCs/>
          <w:iCs/>
          <w:color w:val="auto"/>
        </w:rPr>
        <w:t xml:space="preserve">project </w:t>
      </w:r>
      <w:r w:rsidRPr="00443D03">
        <w:rPr>
          <w:rFonts w:eastAsiaTheme="majorEastAsia" w:cstheme="majorBidi"/>
          <w:bCs/>
          <w:iCs/>
          <w:color w:val="auto"/>
        </w:rPr>
        <w:t xml:space="preserve">costs for extending the edge network as the size of the Estate grows. </w:t>
      </w:r>
      <w:r>
        <w:rPr>
          <w:rFonts w:eastAsiaTheme="majorEastAsia" w:cstheme="majorBidi"/>
          <w:bCs/>
          <w:iCs/>
          <w:color w:val="auto"/>
        </w:rPr>
        <w:t xml:space="preserve">This is because to date the funding for networking in new build or refurbished space has been met by the building projects. </w:t>
      </w:r>
    </w:p>
    <w:p w:rsidR="00424C1D" w:rsidRDefault="00424C1D" w:rsidP="00424C1D">
      <w:pPr>
        <w:numPr>
          <w:ilvl w:val="0"/>
          <w:numId w:val="10"/>
        </w:numPr>
        <w:tabs>
          <w:tab w:val="clear" w:pos="720"/>
        </w:tabs>
        <w:suppressAutoHyphens w:val="0"/>
        <w:rPr>
          <w:color w:val="auto"/>
        </w:rPr>
      </w:pPr>
      <w:r w:rsidRPr="009009A3">
        <w:rPr>
          <w:color w:val="auto"/>
        </w:rPr>
        <w:t>The research data at JCMB will be externally funded and so requires no investment from the University.</w:t>
      </w:r>
    </w:p>
    <w:p w:rsidR="00424C1D" w:rsidRDefault="00424C1D" w:rsidP="00424C1D">
      <w:pPr>
        <w:numPr>
          <w:ilvl w:val="0"/>
          <w:numId w:val="10"/>
        </w:numPr>
        <w:tabs>
          <w:tab w:val="clear" w:pos="720"/>
        </w:tabs>
        <w:suppressAutoHyphens w:val="0"/>
        <w:rPr>
          <w:rFonts w:eastAsiaTheme="majorEastAsia" w:cstheme="majorBidi"/>
          <w:bCs/>
          <w:iCs/>
          <w:color w:val="auto"/>
        </w:rPr>
        <w:sectPr w:rsidR="00424C1D" w:rsidSect="00441D78">
          <w:headerReference w:type="default" r:id="rId23"/>
          <w:footerReference w:type="default" r:id="rId24"/>
          <w:headerReference w:type="first" r:id="rId25"/>
          <w:footerReference w:type="first" r:id="rId26"/>
          <w:pgSz w:w="11906" w:h="16838"/>
          <w:pgMar w:top="1440" w:right="1440" w:bottom="1440" w:left="1440" w:header="0" w:footer="0" w:gutter="0"/>
          <w:pgNumType w:start="1"/>
          <w:cols w:space="720"/>
          <w:formProt w:val="0"/>
          <w:docGrid w:linePitch="360" w:charSpace="16384"/>
        </w:sectPr>
      </w:pPr>
      <w:r w:rsidRPr="009009A3">
        <w:rPr>
          <w:rFonts w:eastAsiaTheme="majorEastAsia" w:cstheme="majorBidi"/>
          <w:bCs/>
          <w:iCs/>
          <w:color w:val="auto"/>
        </w:rPr>
        <w:t>Costs for ‘Soft Phones’ have not been included because the license costs will be included in the procurement of a new digital phone system and any changes to our operatio</w:t>
      </w:r>
      <w:r>
        <w:rPr>
          <w:rFonts w:eastAsiaTheme="majorEastAsia" w:cstheme="majorBidi"/>
          <w:bCs/>
          <w:iCs/>
          <w:color w:val="auto"/>
        </w:rPr>
        <w:t>nal costs will be at the margin</w:t>
      </w:r>
    </w:p>
    <w:p w:rsidR="00424C1D" w:rsidRDefault="00424C1D" w:rsidP="00424C1D">
      <w:pPr>
        <w:pStyle w:val="Heading2"/>
        <w:numPr>
          <w:ilvl w:val="1"/>
          <w:numId w:val="2"/>
        </w:numPr>
      </w:pPr>
      <w:r>
        <w:lastRenderedPageBreak/>
        <w:t>Appendix A – Project Data Sheets</w:t>
      </w:r>
    </w:p>
    <w:p w:rsidR="00424C1D" w:rsidRDefault="00424C1D" w:rsidP="00424C1D">
      <w:pPr>
        <w:tabs>
          <w:tab w:val="clear" w:pos="720"/>
        </w:tabs>
        <w:suppressAutoHyphens w:val="0"/>
      </w:pPr>
      <w:r>
        <w:t>The costing methodology and assumptions are given in Appendix C and the description of the Strategy Themes used to link projects to the University Strategy are shown in Appendix D</w:t>
      </w:r>
    </w:p>
    <w:p w:rsidR="00424C1D" w:rsidRDefault="00424C1D" w:rsidP="00424C1D">
      <w:pPr>
        <w:pStyle w:val="Heading4"/>
      </w:pPr>
      <w:r>
        <w:t>Project: Rolling refresh of edge network, including technical debt (Run)</w:t>
      </w:r>
    </w:p>
    <w:p w:rsidR="00424C1D" w:rsidRPr="00955A13" w:rsidRDefault="00424C1D" w:rsidP="00424C1D">
      <w:pPr>
        <w:pStyle w:val="Textbody"/>
        <w:spacing w:after="0"/>
        <w:rPr>
          <w:b/>
          <w:sz w:val="20"/>
          <w:szCs w:val="20"/>
        </w:rPr>
      </w:pPr>
      <w:r w:rsidRPr="00955A13">
        <w:rPr>
          <w:b/>
          <w:sz w:val="20"/>
          <w:szCs w:val="20"/>
        </w:rPr>
        <w:t>Infrastructure Category: Network</w:t>
      </w:r>
    </w:p>
    <w:p w:rsidR="00424C1D" w:rsidRPr="00B57DE3" w:rsidRDefault="00424C1D" w:rsidP="00424C1D">
      <w:pPr>
        <w:pStyle w:val="Textbody"/>
        <w:rPr>
          <w:color w:val="auto"/>
        </w:rPr>
      </w:pPr>
      <w:r w:rsidRPr="00B57DE3">
        <w:rPr>
          <w:color w:val="auto"/>
        </w:rPr>
        <w:t xml:space="preserve">This </w:t>
      </w:r>
      <w:r w:rsidRPr="00B57DE3">
        <w:rPr>
          <w:i/>
          <w:color w:val="auto"/>
        </w:rPr>
        <w:t xml:space="preserve">Run </w:t>
      </w:r>
      <w:r w:rsidRPr="00B57DE3">
        <w:rPr>
          <w:color w:val="auto"/>
        </w:rPr>
        <w:t>project will refresh the obsolete network edge switches which comprise the majority of the distributed network</w:t>
      </w:r>
      <w:r w:rsidRPr="002B6C46">
        <w:rPr>
          <w:color w:val="auto"/>
        </w:rPr>
        <w:t xml:space="preserve">.  This project is presented as there is an operational cost, </w:t>
      </w:r>
      <w:r>
        <w:rPr>
          <w:color w:val="auto"/>
        </w:rPr>
        <w:t>for additional project management staff to manage the increased rate of change in the edge network.</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576E67">
              <w:rPr>
                <w:bCs/>
                <w:i/>
              </w:rPr>
              <w:t>Infrastructure</w:t>
            </w:r>
            <w:r w:rsidRPr="00576E67">
              <w:rPr>
                <w:bCs/>
              </w:rPr>
              <w:t>: Infrastructure Power and Resilience</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Edge Network, Technical Debt</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760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760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760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150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150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760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760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760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150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150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Staff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25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25</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25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 – Maintenance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(36)</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(72)</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(108)</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(108)</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(108)</w:t>
            </w:r>
          </w:p>
        </w:tc>
      </w:tr>
      <w:tr w:rsidR="00424C1D" w:rsidRPr="00AF40D6" w:rsidTr="00424C1D">
        <w:tc>
          <w:tcPr>
            <w:tcW w:w="3142" w:type="dxa"/>
            <w:tcBorders>
              <w:top w:val="single" w:sz="4" w:space="0" w:color="A6A6A6" w:themeColor="background1" w:themeShade="A6"/>
              <w:left w:val="nil"/>
              <w:right w:val="nil"/>
            </w:tcBorders>
          </w:tcPr>
          <w:p w:rsidR="00424C1D" w:rsidRPr="00D16A77" w:rsidRDefault="00424C1D" w:rsidP="00424C1D">
            <w:pPr>
              <w:pStyle w:val="Textbody"/>
            </w:pPr>
            <w:r w:rsidRPr="00AF40D6">
              <w:t>Depreciation Charge</w:t>
            </w:r>
            <w:r w:rsidRPr="00EE0BE3">
              <w:rPr>
                <w:sz w:val="16"/>
                <w:szCs w:val="16"/>
              </w:rPr>
              <w:t>*</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0</w:t>
            </w:r>
          </w:p>
        </w:tc>
        <w:tc>
          <w:tcPr>
            <w:tcW w:w="232"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190</w:t>
            </w:r>
          </w:p>
        </w:tc>
        <w:tc>
          <w:tcPr>
            <w:tcW w:w="266"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380</w:t>
            </w:r>
          </w:p>
        </w:tc>
        <w:tc>
          <w:tcPr>
            <w:tcW w:w="232"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570</w:t>
            </w:r>
          </w:p>
        </w:tc>
        <w:tc>
          <w:tcPr>
            <w:tcW w:w="236"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608</w:t>
            </w:r>
          </w:p>
        </w:tc>
      </w:tr>
    </w:tbl>
    <w:p w:rsidR="00424C1D" w:rsidRDefault="00424C1D" w:rsidP="00424C1D">
      <w:pPr>
        <w:pStyle w:val="Textbody"/>
        <w:rPr>
          <w:sz w:val="16"/>
          <w:szCs w:val="16"/>
        </w:rPr>
      </w:pPr>
      <w:r>
        <w:rPr>
          <w:sz w:val="16"/>
          <w:szCs w:val="16"/>
        </w:rPr>
        <w:t xml:space="preserve">*Remaining </w:t>
      </w:r>
      <w:proofErr w:type="spellStart"/>
      <w:r>
        <w:rPr>
          <w:sz w:val="16"/>
          <w:szCs w:val="16"/>
        </w:rPr>
        <w:t>Dep’n</w:t>
      </w:r>
      <w:proofErr w:type="spellEnd"/>
      <w:r>
        <w:rPr>
          <w:sz w:val="16"/>
          <w:szCs w:val="16"/>
        </w:rPr>
        <w:t xml:space="preserve"> Charge for period 2021/22 to 2023/24 is £832k</w:t>
      </w:r>
    </w:p>
    <w:p w:rsidR="00424C1D" w:rsidRPr="008B576D" w:rsidRDefault="00424C1D" w:rsidP="00424C1D">
      <w:pPr>
        <w:pStyle w:val="Textbody"/>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Medium</w:t>
            </w:r>
          </w:p>
        </w:tc>
      </w:tr>
    </w:tbl>
    <w:p w:rsidR="00424C1D" w:rsidRDefault="00424C1D" w:rsidP="00424C1D"/>
    <w:p w:rsidR="00424C1D" w:rsidRDefault="00424C1D" w:rsidP="00424C1D">
      <w:pPr>
        <w:pStyle w:val="Heading4"/>
      </w:pPr>
      <w:r>
        <w:br w:type="page"/>
      </w:r>
      <w:r>
        <w:lastRenderedPageBreak/>
        <w:t xml:space="preserve">Project: </w:t>
      </w:r>
      <w:r w:rsidRPr="00B77E8C">
        <w:t>Move telephony from analogue to VoIP</w:t>
      </w:r>
      <w:r>
        <w:t xml:space="preserve"> (Run)</w:t>
      </w:r>
    </w:p>
    <w:p w:rsidR="00424C1D" w:rsidRDefault="00424C1D" w:rsidP="00424C1D">
      <w:pPr>
        <w:pStyle w:val="Textbody"/>
        <w:spacing w:after="0"/>
      </w:pPr>
      <w:r>
        <w:rPr>
          <w:b/>
          <w:sz w:val="20"/>
          <w:szCs w:val="20"/>
        </w:rPr>
        <w:t xml:space="preserve">Infrastructure Category:  </w:t>
      </w:r>
      <w:r w:rsidRPr="002B6C46">
        <w:rPr>
          <w:b/>
          <w:sz w:val="20"/>
          <w:szCs w:val="20"/>
        </w:rPr>
        <w:t>Network</w:t>
      </w:r>
    </w:p>
    <w:p w:rsidR="00424C1D" w:rsidRDefault="00424C1D" w:rsidP="00424C1D">
      <w:r>
        <w:t xml:space="preserve">This project will ensure the University’s telephone system can continue to provide stable service the ageing analogue telephone network should be replaced.  Approach will be to replace the current system with a like-for-like VoIP system to minimise cost, whilst providing a path to adoption of improved function.  Requirement is for VoIP servers, handsets, appropriate software and provision of IP based external telephony links. </w:t>
      </w:r>
    </w:p>
    <w:p w:rsidR="00424C1D" w:rsidRDefault="00424C1D" w:rsidP="00424C1D">
      <w:r>
        <w:t>This project also includes the costs (primarily license costs) required to deliver the “Soft Phones” project.</w:t>
      </w:r>
    </w:p>
    <w:p w:rsidR="00424C1D" w:rsidRDefault="00424C1D" w:rsidP="00424C1D">
      <w:pPr>
        <w:rPr>
          <w:color w:val="auto"/>
        </w:rPr>
      </w:pPr>
      <w:r w:rsidRPr="00654C1E">
        <w:rPr>
          <w:color w:val="auto"/>
        </w:rPr>
        <w:t xml:space="preserve">Operational costs consist of 0.5 FTE </w:t>
      </w:r>
      <w:proofErr w:type="gramStart"/>
      <w:r w:rsidRPr="00654C1E">
        <w:rPr>
          <w:color w:val="auto"/>
        </w:rPr>
        <w:t>staff from 15/16 to 17/18 to project manage</w:t>
      </w:r>
      <w:proofErr w:type="gramEnd"/>
      <w:r w:rsidRPr="00654C1E">
        <w:rPr>
          <w:color w:val="auto"/>
        </w:rPr>
        <w:t xml:space="preserve"> the installation; staff savings rising to 1FTE in 18/19 and maintenance saving on the analogue phone system.</w:t>
      </w:r>
    </w:p>
    <w:tbl>
      <w:tblPr>
        <w:tblW w:w="0" w:type="auto"/>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05"/>
        <w:gridCol w:w="6555"/>
      </w:tblGrid>
      <w:tr w:rsidR="00424C1D" w:rsidRPr="00BC57A2" w:rsidTr="00424C1D">
        <w:trPr>
          <w:trHeight w:val="381"/>
        </w:trPr>
        <w:tc>
          <w:tcPr>
            <w:tcW w:w="19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BC57A2" w:rsidRDefault="00424C1D" w:rsidP="00424C1D">
            <w:pPr>
              <w:suppressLineNumbers/>
              <w:rPr>
                <w:b/>
              </w:rPr>
            </w:pPr>
            <w:r w:rsidRPr="00BC57A2">
              <w:rPr>
                <w:b/>
              </w:rPr>
              <w:t>Strategic Goals</w:t>
            </w:r>
          </w:p>
        </w:tc>
        <w:tc>
          <w:tcPr>
            <w:tcW w:w="6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BC57A2" w:rsidRDefault="00424C1D" w:rsidP="00424C1D">
            <w:pPr>
              <w:suppressLineNumbers/>
            </w:pPr>
          </w:p>
        </w:tc>
      </w:tr>
      <w:tr w:rsidR="00424C1D" w:rsidRPr="00BC57A2" w:rsidTr="00424C1D">
        <w:tc>
          <w:tcPr>
            <w:tcW w:w="190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BC57A2" w:rsidRDefault="00424C1D" w:rsidP="00424C1D">
            <w:pPr>
              <w:suppressLineNumbers/>
              <w:rPr>
                <w:b/>
              </w:rPr>
            </w:pPr>
            <w:r w:rsidRPr="00BC57A2">
              <w:rPr>
                <w:b/>
              </w:rPr>
              <w:t>Strategic Enablers</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BC57A2" w:rsidRDefault="00424C1D" w:rsidP="00424C1D">
            <w:pPr>
              <w:suppressLineNumbers/>
              <w:rPr>
                <w:bCs/>
              </w:rPr>
            </w:pPr>
            <w:r w:rsidRPr="00BC57A2">
              <w:rPr>
                <w:bCs/>
                <w:i/>
              </w:rPr>
              <w:t>Infrastructure</w:t>
            </w:r>
            <w:r w:rsidRPr="00BC57A2">
              <w:rPr>
                <w:bCs/>
              </w:rPr>
              <w:t>: Infrastructure Power and Resilience</w:t>
            </w:r>
          </w:p>
        </w:tc>
      </w:tr>
      <w:tr w:rsidR="00424C1D" w:rsidRPr="00BC57A2" w:rsidTr="00424C1D">
        <w:tc>
          <w:tcPr>
            <w:tcW w:w="190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BC57A2" w:rsidRDefault="00424C1D" w:rsidP="00424C1D">
            <w:pPr>
              <w:suppressLineNumbers/>
              <w:rPr>
                <w:b/>
              </w:rPr>
            </w:pPr>
            <w:r w:rsidRPr="00BC57A2">
              <w:rPr>
                <w:b/>
              </w:rPr>
              <w:t>Strategic Themes</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BC57A2" w:rsidRDefault="00424C1D" w:rsidP="00424C1D">
            <w:pPr>
              <w:suppressLineNumbers/>
            </w:pPr>
          </w:p>
        </w:tc>
      </w:tr>
    </w:tbl>
    <w:p w:rsidR="00424C1D" w:rsidRPr="00BC57A2" w:rsidRDefault="00424C1D" w:rsidP="00424C1D">
      <w:pPr>
        <w:spacing w:after="120"/>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RPr="00BC57A2" w:rsidTr="00424C1D">
        <w:tc>
          <w:tcPr>
            <w:tcW w:w="3142" w:type="dxa"/>
            <w:tcBorders>
              <w:left w:val="nil"/>
              <w:right w:val="nil"/>
            </w:tcBorders>
          </w:tcPr>
          <w:p w:rsidR="00424C1D" w:rsidRPr="00BC57A2" w:rsidRDefault="00424C1D" w:rsidP="00424C1D">
            <w:pPr>
              <w:rPr>
                <w:b/>
              </w:rPr>
            </w:pPr>
            <w:r w:rsidRPr="00BC57A2">
              <w:rPr>
                <w:b/>
              </w:rPr>
              <w:t>Move Telephony from Analogue to VOIP</w:t>
            </w:r>
          </w:p>
          <w:p w:rsidR="00424C1D" w:rsidRPr="00BC57A2" w:rsidRDefault="00424C1D" w:rsidP="00424C1D">
            <w:pPr>
              <w:rPr>
                <w:b/>
              </w:rPr>
            </w:pPr>
            <w:r w:rsidRPr="00BC57A2">
              <w:rPr>
                <w:b/>
              </w:rPr>
              <w:t>Project Expenditure</w:t>
            </w:r>
          </w:p>
        </w:tc>
        <w:tc>
          <w:tcPr>
            <w:tcW w:w="234" w:type="dxa"/>
            <w:tcBorders>
              <w:top w:val="nil"/>
              <w:left w:val="nil"/>
              <w:bottom w:val="nil"/>
              <w:right w:val="nil"/>
            </w:tcBorders>
          </w:tcPr>
          <w:p w:rsidR="00424C1D" w:rsidRPr="00BC57A2" w:rsidRDefault="00424C1D" w:rsidP="00424C1D">
            <w:pPr>
              <w:rPr>
                <w:b/>
              </w:rPr>
            </w:pPr>
          </w:p>
        </w:tc>
        <w:tc>
          <w:tcPr>
            <w:tcW w:w="980" w:type="dxa"/>
            <w:tcBorders>
              <w:left w:val="nil"/>
              <w:right w:val="nil"/>
            </w:tcBorders>
          </w:tcPr>
          <w:p w:rsidR="00424C1D" w:rsidRPr="00BC57A2" w:rsidRDefault="00424C1D" w:rsidP="00424C1D">
            <w:pPr>
              <w:rPr>
                <w:b/>
              </w:rPr>
            </w:pPr>
            <w:r w:rsidRPr="00BC57A2">
              <w:rPr>
                <w:b/>
              </w:rPr>
              <w:t>2015/16</w:t>
            </w:r>
          </w:p>
          <w:p w:rsidR="00424C1D" w:rsidRPr="00BC57A2" w:rsidRDefault="00424C1D" w:rsidP="00424C1D">
            <w:pPr>
              <w:rPr>
                <w:b/>
              </w:rPr>
            </w:pPr>
            <w:r w:rsidRPr="00BC57A2">
              <w:rPr>
                <w:b/>
              </w:rPr>
              <w:t>(£000)</w:t>
            </w:r>
          </w:p>
        </w:tc>
        <w:tc>
          <w:tcPr>
            <w:tcW w:w="232" w:type="dxa"/>
            <w:tcBorders>
              <w:top w:val="nil"/>
              <w:left w:val="nil"/>
              <w:bottom w:val="nil"/>
              <w:right w:val="nil"/>
            </w:tcBorders>
          </w:tcPr>
          <w:p w:rsidR="00424C1D" w:rsidRPr="00BC57A2" w:rsidRDefault="00424C1D" w:rsidP="00424C1D">
            <w:pPr>
              <w:rPr>
                <w:b/>
              </w:rPr>
            </w:pPr>
          </w:p>
        </w:tc>
        <w:tc>
          <w:tcPr>
            <w:tcW w:w="980" w:type="dxa"/>
            <w:tcBorders>
              <w:left w:val="nil"/>
              <w:right w:val="nil"/>
            </w:tcBorders>
          </w:tcPr>
          <w:p w:rsidR="00424C1D" w:rsidRPr="00BC57A2" w:rsidRDefault="00424C1D" w:rsidP="00424C1D">
            <w:pPr>
              <w:rPr>
                <w:b/>
              </w:rPr>
            </w:pPr>
            <w:r w:rsidRPr="00BC57A2">
              <w:rPr>
                <w:b/>
              </w:rPr>
              <w:t>2016/17</w:t>
            </w:r>
          </w:p>
          <w:p w:rsidR="00424C1D" w:rsidRPr="00BC57A2" w:rsidRDefault="00424C1D" w:rsidP="00424C1D">
            <w:pPr>
              <w:rPr>
                <w:b/>
              </w:rPr>
            </w:pPr>
            <w:r w:rsidRPr="00BC57A2">
              <w:rPr>
                <w:b/>
              </w:rPr>
              <w:t>(£000)</w:t>
            </w:r>
          </w:p>
        </w:tc>
        <w:tc>
          <w:tcPr>
            <w:tcW w:w="266" w:type="dxa"/>
            <w:tcBorders>
              <w:top w:val="nil"/>
              <w:left w:val="nil"/>
              <w:bottom w:val="nil"/>
              <w:right w:val="nil"/>
            </w:tcBorders>
          </w:tcPr>
          <w:p w:rsidR="00424C1D" w:rsidRPr="00BC57A2" w:rsidRDefault="00424C1D" w:rsidP="00424C1D">
            <w:pPr>
              <w:rPr>
                <w:b/>
              </w:rPr>
            </w:pPr>
          </w:p>
        </w:tc>
        <w:tc>
          <w:tcPr>
            <w:tcW w:w="980" w:type="dxa"/>
            <w:tcBorders>
              <w:left w:val="nil"/>
              <w:right w:val="nil"/>
            </w:tcBorders>
          </w:tcPr>
          <w:p w:rsidR="00424C1D" w:rsidRPr="00BC57A2" w:rsidRDefault="00424C1D" w:rsidP="00424C1D">
            <w:pPr>
              <w:rPr>
                <w:b/>
              </w:rPr>
            </w:pPr>
            <w:r w:rsidRPr="00BC57A2">
              <w:rPr>
                <w:b/>
              </w:rPr>
              <w:t>2017/18</w:t>
            </w:r>
          </w:p>
          <w:p w:rsidR="00424C1D" w:rsidRPr="00BC57A2" w:rsidRDefault="00424C1D" w:rsidP="00424C1D">
            <w:pPr>
              <w:rPr>
                <w:b/>
              </w:rPr>
            </w:pPr>
            <w:r w:rsidRPr="00BC57A2">
              <w:rPr>
                <w:b/>
              </w:rPr>
              <w:t>(£000)</w:t>
            </w:r>
          </w:p>
        </w:tc>
        <w:tc>
          <w:tcPr>
            <w:tcW w:w="232" w:type="dxa"/>
            <w:tcBorders>
              <w:top w:val="nil"/>
              <w:left w:val="nil"/>
              <w:bottom w:val="nil"/>
              <w:right w:val="nil"/>
            </w:tcBorders>
          </w:tcPr>
          <w:p w:rsidR="00424C1D" w:rsidRPr="00BC57A2" w:rsidRDefault="00424C1D" w:rsidP="00424C1D">
            <w:pPr>
              <w:rPr>
                <w:b/>
              </w:rPr>
            </w:pPr>
          </w:p>
        </w:tc>
        <w:tc>
          <w:tcPr>
            <w:tcW w:w="980" w:type="dxa"/>
            <w:tcBorders>
              <w:left w:val="nil"/>
              <w:right w:val="nil"/>
            </w:tcBorders>
          </w:tcPr>
          <w:p w:rsidR="00424C1D" w:rsidRPr="00BC57A2" w:rsidRDefault="00424C1D" w:rsidP="00424C1D">
            <w:pPr>
              <w:rPr>
                <w:b/>
              </w:rPr>
            </w:pPr>
            <w:r w:rsidRPr="00BC57A2">
              <w:rPr>
                <w:b/>
              </w:rPr>
              <w:t>2018/19 (£000)</w:t>
            </w:r>
          </w:p>
        </w:tc>
        <w:tc>
          <w:tcPr>
            <w:tcW w:w="236" w:type="dxa"/>
            <w:tcBorders>
              <w:top w:val="nil"/>
              <w:left w:val="nil"/>
              <w:bottom w:val="nil"/>
              <w:right w:val="nil"/>
            </w:tcBorders>
          </w:tcPr>
          <w:p w:rsidR="00424C1D" w:rsidRPr="00BC57A2" w:rsidRDefault="00424C1D" w:rsidP="00424C1D">
            <w:pPr>
              <w:rPr>
                <w:b/>
              </w:rPr>
            </w:pPr>
          </w:p>
        </w:tc>
        <w:tc>
          <w:tcPr>
            <w:tcW w:w="980" w:type="dxa"/>
            <w:tcBorders>
              <w:left w:val="nil"/>
              <w:right w:val="nil"/>
            </w:tcBorders>
          </w:tcPr>
          <w:p w:rsidR="00424C1D" w:rsidRPr="00BC57A2" w:rsidRDefault="00424C1D" w:rsidP="00424C1D">
            <w:pPr>
              <w:rPr>
                <w:b/>
              </w:rPr>
            </w:pPr>
            <w:r w:rsidRPr="00BC57A2">
              <w:rPr>
                <w:b/>
              </w:rPr>
              <w:t>2019/20 (£000)</w:t>
            </w:r>
          </w:p>
        </w:tc>
      </w:tr>
      <w:tr w:rsidR="00424C1D" w:rsidRPr="00BC57A2" w:rsidTr="00424C1D">
        <w:tc>
          <w:tcPr>
            <w:tcW w:w="3142" w:type="dxa"/>
            <w:tcBorders>
              <w:left w:val="nil"/>
              <w:bottom w:val="single" w:sz="4" w:space="0" w:color="BFBFBF" w:themeColor="background1" w:themeShade="BF"/>
              <w:right w:val="nil"/>
            </w:tcBorders>
          </w:tcPr>
          <w:p w:rsidR="00424C1D" w:rsidRPr="00BC57A2" w:rsidRDefault="00424C1D" w:rsidP="00424C1D">
            <w:pPr>
              <w:spacing w:after="120"/>
            </w:pPr>
            <w:r w:rsidRPr="00BC57A2">
              <w:t>Capital project expenditure</w:t>
            </w:r>
          </w:p>
        </w:tc>
        <w:tc>
          <w:tcPr>
            <w:tcW w:w="234" w:type="dxa"/>
            <w:tcBorders>
              <w:top w:val="nil"/>
              <w:left w:val="nil"/>
              <w:bottom w:val="nil"/>
              <w:right w:val="nil"/>
            </w:tcBorders>
          </w:tcPr>
          <w:p w:rsidR="00424C1D" w:rsidRPr="00BC57A2" w:rsidRDefault="00424C1D" w:rsidP="00424C1D">
            <w:pPr>
              <w:spacing w:after="120"/>
            </w:pPr>
          </w:p>
        </w:tc>
        <w:tc>
          <w:tcPr>
            <w:tcW w:w="980" w:type="dxa"/>
            <w:tcBorders>
              <w:left w:val="nil"/>
              <w:bottom w:val="single" w:sz="4" w:space="0" w:color="BFBFBF" w:themeColor="background1" w:themeShade="BF"/>
              <w:right w:val="nil"/>
            </w:tcBorders>
          </w:tcPr>
          <w:p w:rsidR="00424C1D" w:rsidRPr="00BC57A2" w:rsidRDefault="00424C1D" w:rsidP="00424C1D">
            <w:pPr>
              <w:spacing w:after="120"/>
            </w:pPr>
            <w:r w:rsidRPr="00BC57A2">
              <w:t>700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left w:val="nil"/>
              <w:bottom w:val="single" w:sz="4" w:space="0" w:color="BFBFBF" w:themeColor="background1" w:themeShade="BF"/>
              <w:right w:val="nil"/>
            </w:tcBorders>
          </w:tcPr>
          <w:p w:rsidR="00424C1D" w:rsidRPr="00BC57A2" w:rsidRDefault="00424C1D" w:rsidP="00424C1D">
            <w:pPr>
              <w:spacing w:after="120"/>
            </w:pPr>
            <w:r w:rsidRPr="00BC57A2">
              <w:t>1,000</w:t>
            </w:r>
          </w:p>
        </w:tc>
        <w:tc>
          <w:tcPr>
            <w:tcW w:w="266" w:type="dxa"/>
            <w:tcBorders>
              <w:top w:val="nil"/>
              <w:left w:val="nil"/>
              <w:bottom w:val="nil"/>
              <w:right w:val="nil"/>
            </w:tcBorders>
          </w:tcPr>
          <w:p w:rsidR="00424C1D" w:rsidRPr="00BC57A2" w:rsidRDefault="00424C1D" w:rsidP="00424C1D">
            <w:pPr>
              <w:spacing w:after="120"/>
            </w:pPr>
          </w:p>
        </w:tc>
        <w:tc>
          <w:tcPr>
            <w:tcW w:w="980" w:type="dxa"/>
            <w:tcBorders>
              <w:left w:val="nil"/>
              <w:bottom w:val="single" w:sz="4" w:space="0" w:color="BFBFBF" w:themeColor="background1" w:themeShade="BF"/>
              <w:right w:val="nil"/>
            </w:tcBorders>
          </w:tcPr>
          <w:p w:rsidR="00424C1D" w:rsidRPr="00BC57A2" w:rsidRDefault="00424C1D" w:rsidP="00424C1D">
            <w:pPr>
              <w:spacing w:after="120"/>
            </w:pPr>
            <w:r w:rsidRPr="00BC57A2">
              <w:t>300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left w:val="nil"/>
              <w:bottom w:val="single" w:sz="4" w:space="0" w:color="BFBFBF" w:themeColor="background1" w:themeShade="BF"/>
              <w:right w:val="nil"/>
            </w:tcBorders>
          </w:tcPr>
          <w:p w:rsidR="00424C1D" w:rsidRPr="00BC57A2" w:rsidRDefault="00424C1D" w:rsidP="00424C1D">
            <w:pPr>
              <w:spacing w:after="120"/>
            </w:pPr>
            <w:r>
              <w:t>0</w:t>
            </w:r>
          </w:p>
        </w:tc>
        <w:tc>
          <w:tcPr>
            <w:tcW w:w="236" w:type="dxa"/>
            <w:tcBorders>
              <w:top w:val="nil"/>
              <w:left w:val="nil"/>
              <w:bottom w:val="nil"/>
              <w:right w:val="nil"/>
            </w:tcBorders>
          </w:tcPr>
          <w:p w:rsidR="00424C1D" w:rsidRPr="00BC57A2" w:rsidRDefault="00424C1D" w:rsidP="00424C1D">
            <w:pPr>
              <w:spacing w:after="120"/>
            </w:pPr>
          </w:p>
        </w:tc>
        <w:tc>
          <w:tcPr>
            <w:tcW w:w="980" w:type="dxa"/>
            <w:tcBorders>
              <w:left w:val="nil"/>
              <w:bottom w:val="single" w:sz="4" w:space="0" w:color="BFBFBF" w:themeColor="background1" w:themeShade="BF"/>
              <w:right w:val="nil"/>
            </w:tcBorders>
          </w:tcPr>
          <w:p w:rsidR="00424C1D" w:rsidRPr="00BC57A2" w:rsidRDefault="00424C1D" w:rsidP="00424C1D">
            <w:pPr>
              <w:spacing w:after="120"/>
            </w:pPr>
            <w:r>
              <w:t>0</w:t>
            </w:r>
          </w:p>
        </w:tc>
      </w:tr>
      <w:tr w:rsidR="00424C1D" w:rsidRPr="00BC57A2"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BC57A2" w:rsidRDefault="00424C1D" w:rsidP="00424C1D">
            <w:pPr>
              <w:spacing w:after="120"/>
            </w:pPr>
            <w:r w:rsidRPr="00BC57A2">
              <w:t>Revenue project expenditure</w:t>
            </w:r>
          </w:p>
        </w:tc>
        <w:tc>
          <w:tcPr>
            <w:tcW w:w="234"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BC57A2" w:rsidRDefault="00424C1D" w:rsidP="00424C1D">
            <w:pPr>
              <w:spacing w:after="120"/>
            </w:pPr>
            <w:r>
              <w:t>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BC57A2" w:rsidRDefault="00424C1D" w:rsidP="00424C1D">
            <w:pPr>
              <w:spacing w:after="120"/>
            </w:pPr>
            <w:r>
              <w:t>0</w:t>
            </w:r>
          </w:p>
        </w:tc>
        <w:tc>
          <w:tcPr>
            <w:tcW w:w="26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BC57A2" w:rsidRDefault="00424C1D" w:rsidP="00424C1D">
            <w:pPr>
              <w:spacing w:after="120"/>
            </w:pPr>
            <w:r>
              <w:t>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BC57A2" w:rsidRDefault="00424C1D" w:rsidP="00424C1D">
            <w:pPr>
              <w:spacing w:after="120"/>
            </w:pPr>
            <w:r>
              <w:t>0</w:t>
            </w:r>
          </w:p>
        </w:tc>
        <w:tc>
          <w:tcPr>
            <w:tcW w:w="23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BC57A2" w:rsidRDefault="00424C1D" w:rsidP="00424C1D">
            <w:pPr>
              <w:spacing w:after="120"/>
            </w:pPr>
            <w:r>
              <w:t>0</w:t>
            </w:r>
          </w:p>
        </w:tc>
      </w:tr>
      <w:tr w:rsidR="00424C1D" w:rsidRPr="00BC57A2" w:rsidTr="00424C1D">
        <w:tc>
          <w:tcPr>
            <w:tcW w:w="3142" w:type="dxa"/>
            <w:tcBorders>
              <w:top w:val="single" w:sz="4" w:space="0" w:color="BFBFBF" w:themeColor="background1" w:themeShade="BF"/>
              <w:left w:val="nil"/>
              <w:bottom w:val="single" w:sz="4" w:space="0" w:color="auto"/>
              <w:right w:val="nil"/>
            </w:tcBorders>
          </w:tcPr>
          <w:p w:rsidR="00424C1D" w:rsidRPr="00BC57A2" w:rsidRDefault="00424C1D" w:rsidP="00424C1D">
            <w:pPr>
              <w:spacing w:after="120"/>
              <w:rPr>
                <w:b/>
              </w:rPr>
            </w:pPr>
            <w:r w:rsidRPr="00BC57A2">
              <w:rPr>
                <w:b/>
              </w:rPr>
              <w:t>Total project expenditure</w:t>
            </w:r>
          </w:p>
        </w:tc>
        <w:tc>
          <w:tcPr>
            <w:tcW w:w="234" w:type="dxa"/>
            <w:tcBorders>
              <w:top w:val="nil"/>
              <w:left w:val="nil"/>
              <w:bottom w:val="nil"/>
              <w:right w:val="nil"/>
            </w:tcBorders>
          </w:tcPr>
          <w:p w:rsidR="00424C1D" w:rsidRPr="00BC57A2" w:rsidRDefault="00424C1D" w:rsidP="00424C1D">
            <w:pPr>
              <w:spacing w:after="120"/>
              <w:rPr>
                <w:b/>
              </w:rPr>
            </w:pPr>
          </w:p>
        </w:tc>
        <w:tc>
          <w:tcPr>
            <w:tcW w:w="980" w:type="dxa"/>
            <w:tcBorders>
              <w:top w:val="single" w:sz="4" w:space="0" w:color="BFBFBF" w:themeColor="background1" w:themeShade="BF"/>
              <w:left w:val="nil"/>
              <w:bottom w:val="single" w:sz="4" w:space="0" w:color="auto"/>
              <w:right w:val="nil"/>
            </w:tcBorders>
          </w:tcPr>
          <w:p w:rsidR="00424C1D" w:rsidRPr="00BC57A2" w:rsidRDefault="00424C1D" w:rsidP="00424C1D">
            <w:pPr>
              <w:spacing w:after="120"/>
              <w:rPr>
                <w:b/>
              </w:rPr>
            </w:pPr>
            <w:r>
              <w:rPr>
                <w:b/>
              </w:rPr>
              <w:t>700</w:t>
            </w:r>
          </w:p>
        </w:tc>
        <w:tc>
          <w:tcPr>
            <w:tcW w:w="232" w:type="dxa"/>
            <w:tcBorders>
              <w:top w:val="nil"/>
              <w:left w:val="nil"/>
              <w:bottom w:val="nil"/>
              <w:right w:val="nil"/>
            </w:tcBorders>
          </w:tcPr>
          <w:p w:rsidR="00424C1D" w:rsidRPr="00BC57A2" w:rsidRDefault="00424C1D" w:rsidP="00424C1D">
            <w:pPr>
              <w:spacing w:after="120"/>
              <w:rPr>
                <w:b/>
              </w:rPr>
            </w:pPr>
          </w:p>
        </w:tc>
        <w:tc>
          <w:tcPr>
            <w:tcW w:w="980" w:type="dxa"/>
            <w:tcBorders>
              <w:top w:val="single" w:sz="4" w:space="0" w:color="BFBFBF" w:themeColor="background1" w:themeShade="BF"/>
              <w:left w:val="nil"/>
              <w:bottom w:val="single" w:sz="4" w:space="0" w:color="auto"/>
              <w:right w:val="nil"/>
            </w:tcBorders>
          </w:tcPr>
          <w:p w:rsidR="00424C1D" w:rsidRPr="00BC57A2" w:rsidRDefault="00424C1D" w:rsidP="00424C1D">
            <w:pPr>
              <w:spacing w:after="120"/>
              <w:rPr>
                <w:b/>
              </w:rPr>
            </w:pPr>
            <w:r>
              <w:rPr>
                <w:b/>
              </w:rPr>
              <w:t>1,000</w:t>
            </w:r>
          </w:p>
        </w:tc>
        <w:tc>
          <w:tcPr>
            <w:tcW w:w="266" w:type="dxa"/>
            <w:tcBorders>
              <w:top w:val="nil"/>
              <w:left w:val="nil"/>
              <w:bottom w:val="nil"/>
              <w:right w:val="nil"/>
            </w:tcBorders>
          </w:tcPr>
          <w:p w:rsidR="00424C1D" w:rsidRPr="00BC57A2" w:rsidRDefault="00424C1D" w:rsidP="00424C1D">
            <w:pPr>
              <w:spacing w:after="120"/>
              <w:rPr>
                <w:b/>
              </w:rPr>
            </w:pPr>
          </w:p>
        </w:tc>
        <w:tc>
          <w:tcPr>
            <w:tcW w:w="980" w:type="dxa"/>
            <w:tcBorders>
              <w:top w:val="single" w:sz="4" w:space="0" w:color="BFBFBF" w:themeColor="background1" w:themeShade="BF"/>
              <w:left w:val="nil"/>
              <w:bottom w:val="single" w:sz="4" w:space="0" w:color="auto"/>
              <w:right w:val="nil"/>
            </w:tcBorders>
          </w:tcPr>
          <w:p w:rsidR="00424C1D" w:rsidRPr="00BC57A2" w:rsidRDefault="00424C1D" w:rsidP="00424C1D">
            <w:pPr>
              <w:spacing w:after="120"/>
              <w:rPr>
                <w:b/>
              </w:rPr>
            </w:pPr>
            <w:r>
              <w:rPr>
                <w:b/>
              </w:rPr>
              <w:t>300</w:t>
            </w:r>
          </w:p>
        </w:tc>
        <w:tc>
          <w:tcPr>
            <w:tcW w:w="232" w:type="dxa"/>
            <w:tcBorders>
              <w:top w:val="nil"/>
              <w:left w:val="nil"/>
              <w:bottom w:val="nil"/>
              <w:right w:val="nil"/>
            </w:tcBorders>
          </w:tcPr>
          <w:p w:rsidR="00424C1D" w:rsidRPr="00BC57A2" w:rsidRDefault="00424C1D" w:rsidP="00424C1D">
            <w:pPr>
              <w:spacing w:after="120"/>
              <w:rPr>
                <w:b/>
              </w:rPr>
            </w:pPr>
          </w:p>
        </w:tc>
        <w:tc>
          <w:tcPr>
            <w:tcW w:w="980" w:type="dxa"/>
            <w:tcBorders>
              <w:top w:val="single" w:sz="4" w:space="0" w:color="BFBFBF" w:themeColor="background1" w:themeShade="BF"/>
              <w:left w:val="nil"/>
              <w:bottom w:val="single" w:sz="4" w:space="0" w:color="auto"/>
              <w:right w:val="nil"/>
            </w:tcBorders>
          </w:tcPr>
          <w:p w:rsidR="00424C1D" w:rsidRPr="00BC57A2" w:rsidRDefault="00424C1D" w:rsidP="00424C1D">
            <w:pPr>
              <w:spacing w:after="120"/>
              <w:rPr>
                <w:b/>
              </w:rPr>
            </w:pPr>
            <w:r>
              <w:rPr>
                <w:b/>
              </w:rPr>
              <w:t>0</w:t>
            </w:r>
          </w:p>
        </w:tc>
        <w:tc>
          <w:tcPr>
            <w:tcW w:w="236" w:type="dxa"/>
            <w:tcBorders>
              <w:top w:val="nil"/>
              <w:left w:val="nil"/>
              <w:bottom w:val="nil"/>
              <w:right w:val="nil"/>
            </w:tcBorders>
          </w:tcPr>
          <w:p w:rsidR="00424C1D" w:rsidRPr="00BC57A2" w:rsidRDefault="00424C1D" w:rsidP="00424C1D">
            <w:pPr>
              <w:spacing w:after="120"/>
              <w:rPr>
                <w:b/>
              </w:rPr>
            </w:pPr>
          </w:p>
        </w:tc>
        <w:tc>
          <w:tcPr>
            <w:tcW w:w="980" w:type="dxa"/>
            <w:tcBorders>
              <w:top w:val="single" w:sz="4" w:space="0" w:color="BFBFBF" w:themeColor="background1" w:themeShade="BF"/>
              <w:left w:val="nil"/>
              <w:bottom w:val="single" w:sz="4" w:space="0" w:color="auto"/>
              <w:right w:val="nil"/>
            </w:tcBorders>
          </w:tcPr>
          <w:p w:rsidR="00424C1D" w:rsidRPr="00BC57A2" w:rsidRDefault="00424C1D" w:rsidP="00424C1D">
            <w:pPr>
              <w:spacing w:after="120"/>
              <w:rPr>
                <w:b/>
              </w:rPr>
            </w:pPr>
            <w:r>
              <w:rPr>
                <w:b/>
              </w:rPr>
              <w:t>0</w:t>
            </w:r>
          </w:p>
        </w:tc>
      </w:tr>
      <w:tr w:rsidR="00424C1D" w:rsidRPr="00BC57A2" w:rsidTr="00424C1D">
        <w:trPr>
          <w:trHeight w:val="117"/>
        </w:trPr>
        <w:tc>
          <w:tcPr>
            <w:tcW w:w="3142" w:type="dxa"/>
            <w:tcBorders>
              <w:top w:val="single" w:sz="4" w:space="0" w:color="auto"/>
              <w:left w:val="nil"/>
              <w:bottom w:val="single" w:sz="4" w:space="0" w:color="auto"/>
              <w:right w:val="nil"/>
            </w:tcBorders>
          </w:tcPr>
          <w:p w:rsidR="00424C1D" w:rsidRPr="00BC57A2" w:rsidRDefault="00424C1D" w:rsidP="00424C1D">
            <w:pPr>
              <w:rPr>
                <w:b/>
              </w:rPr>
            </w:pPr>
            <w:r w:rsidRPr="00BC57A2">
              <w:rPr>
                <w:b/>
              </w:rPr>
              <w:t>Operational Opportunity Costs of Project</w:t>
            </w:r>
          </w:p>
        </w:tc>
        <w:tc>
          <w:tcPr>
            <w:tcW w:w="234" w:type="dxa"/>
            <w:tcBorders>
              <w:top w:val="nil"/>
              <w:left w:val="nil"/>
              <w:bottom w:val="nil"/>
              <w:right w:val="nil"/>
            </w:tcBorders>
          </w:tcPr>
          <w:p w:rsidR="00424C1D" w:rsidRPr="00BC57A2" w:rsidRDefault="00424C1D" w:rsidP="00424C1D">
            <w:pPr>
              <w:rPr>
                <w:sz w:val="8"/>
                <w:szCs w:val="8"/>
              </w:rPr>
            </w:pPr>
          </w:p>
        </w:tc>
        <w:tc>
          <w:tcPr>
            <w:tcW w:w="980" w:type="dxa"/>
            <w:tcBorders>
              <w:top w:val="single" w:sz="4" w:space="0" w:color="auto"/>
              <w:left w:val="nil"/>
              <w:bottom w:val="single" w:sz="4" w:space="0" w:color="auto"/>
              <w:right w:val="nil"/>
            </w:tcBorders>
          </w:tcPr>
          <w:p w:rsidR="00424C1D" w:rsidRPr="00BC57A2" w:rsidRDefault="00424C1D" w:rsidP="00424C1D">
            <w:pPr>
              <w:rPr>
                <w:b/>
              </w:rPr>
            </w:pPr>
            <w:r w:rsidRPr="00BC57A2">
              <w:rPr>
                <w:b/>
              </w:rPr>
              <w:t>2015/16</w:t>
            </w:r>
          </w:p>
          <w:p w:rsidR="00424C1D" w:rsidRPr="00BC57A2" w:rsidRDefault="00424C1D" w:rsidP="00424C1D">
            <w:pPr>
              <w:rPr>
                <w:b/>
              </w:rPr>
            </w:pPr>
            <w:r w:rsidRPr="00BC57A2">
              <w:rPr>
                <w:b/>
              </w:rPr>
              <w:t>(£000)</w:t>
            </w:r>
          </w:p>
        </w:tc>
        <w:tc>
          <w:tcPr>
            <w:tcW w:w="232" w:type="dxa"/>
            <w:tcBorders>
              <w:top w:val="nil"/>
              <w:left w:val="nil"/>
              <w:bottom w:val="nil"/>
              <w:right w:val="nil"/>
            </w:tcBorders>
          </w:tcPr>
          <w:p w:rsidR="00424C1D" w:rsidRPr="00BC57A2" w:rsidRDefault="00424C1D" w:rsidP="00424C1D">
            <w:pPr>
              <w:rPr>
                <w:b/>
              </w:rPr>
            </w:pPr>
          </w:p>
        </w:tc>
        <w:tc>
          <w:tcPr>
            <w:tcW w:w="980" w:type="dxa"/>
            <w:tcBorders>
              <w:top w:val="single" w:sz="4" w:space="0" w:color="auto"/>
              <w:left w:val="nil"/>
              <w:bottom w:val="single" w:sz="4" w:space="0" w:color="auto"/>
              <w:right w:val="nil"/>
            </w:tcBorders>
          </w:tcPr>
          <w:p w:rsidR="00424C1D" w:rsidRPr="00BC57A2" w:rsidRDefault="00424C1D" w:rsidP="00424C1D">
            <w:pPr>
              <w:rPr>
                <w:b/>
              </w:rPr>
            </w:pPr>
            <w:r w:rsidRPr="00BC57A2">
              <w:rPr>
                <w:b/>
              </w:rPr>
              <w:t>2016/17</w:t>
            </w:r>
          </w:p>
          <w:p w:rsidR="00424C1D" w:rsidRPr="00BC57A2" w:rsidRDefault="00424C1D" w:rsidP="00424C1D">
            <w:pPr>
              <w:rPr>
                <w:b/>
              </w:rPr>
            </w:pPr>
            <w:r w:rsidRPr="00BC57A2">
              <w:rPr>
                <w:b/>
              </w:rPr>
              <w:t>(£000)</w:t>
            </w:r>
          </w:p>
        </w:tc>
        <w:tc>
          <w:tcPr>
            <w:tcW w:w="266" w:type="dxa"/>
            <w:tcBorders>
              <w:top w:val="nil"/>
              <w:left w:val="nil"/>
              <w:bottom w:val="nil"/>
              <w:right w:val="nil"/>
            </w:tcBorders>
          </w:tcPr>
          <w:p w:rsidR="00424C1D" w:rsidRPr="00BC57A2" w:rsidRDefault="00424C1D" w:rsidP="00424C1D">
            <w:pPr>
              <w:rPr>
                <w:b/>
              </w:rPr>
            </w:pPr>
          </w:p>
        </w:tc>
        <w:tc>
          <w:tcPr>
            <w:tcW w:w="980" w:type="dxa"/>
            <w:tcBorders>
              <w:top w:val="single" w:sz="4" w:space="0" w:color="auto"/>
              <w:left w:val="nil"/>
              <w:bottom w:val="single" w:sz="4" w:space="0" w:color="auto"/>
              <w:right w:val="nil"/>
            </w:tcBorders>
          </w:tcPr>
          <w:p w:rsidR="00424C1D" w:rsidRPr="00BC57A2" w:rsidRDefault="00424C1D" w:rsidP="00424C1D">
            <w:pPr>
              <w:rPr>
                <w:b/>
              </w:rPr>
            </w:pPr>
            <w:r w:rsidRPr="00BC57A2">
              <w:rPr>
                <w:b/>
              </w:rPr>
              <w:t>2017/18</w:t>
            </w:r>
          </w:p>
          <w:p w:rsidR="00424C1D" w:rsidRPr="00BC57A2" w:rsidRDefault="00424C1D" w:rsidP="00424C1D">
            <w:pPr>
              <w:rPr>
                <w:b/>
              </w:rPr>
            </w:pPr>
            <w:r w:rsidRPr="00BC57A2">
              <w:rPr>
                <w:b/>
              </w:rPr>
              <w:t>(£000)</w:t>
            </w:r>
          </w:p>
        </w:tc>
        <w:tc>
          <w:tcPr>
            <w:tcW w:w="232" w:type="dxa"/>
            <w:tcBorders>
              <w:top w:val="nil"/>
              <w:left w:val="nil"/>
              <w:bottom w:val="nil"/>
              <w:right w:val="nil"/>
            </w:tcBorders>
          </w:tcPr>
          <w:p w:rsidR="00424C1D" w:rsidRPr="00BC57A2" w:rsidRDefault="00424C1D" w:rsidP="00424C1D">
            <w:pPr>
              <w:rPr>
                <w:b/>
              </w:rPr>
            </w:pPr>
          </w:p>
        </w:tc>
        <w:tc>
          <w:tcPr>
            <w:tcW w:w="980" w:type="dxa"/>
            <w:tcBorders>
              <w:top w:val="single" w:sz="4" w:space="0" w:color="auto"/>
              <w:left w:val="nil"/>
              <w:bottom w:val="single" w:sz="4" w:space="0" w:color="auto"/>
              <w:right w:val="nil"/>
            </w:tcBorders>
          </w:tcPr>
          <w:p w:rsidR="00424C1D" w:rsidRPr="00BC57A2" w:rsidRDefault="00424C1D" w:rsidP="00424C1D">
            <w:pPr>
              <w:rPr>
                <w:b/>
              </w:rPr>
            </w:pPr>
            <w:r w:rsidRPr="00BC57A2">
              <w:rPr>
                <w:b/>
              </w:rPr>
              <w:t>2018/19 (£000)</w:t>
            </w:r>
          </w:p>
        </w:tc>
        <w:tc>
          <w:tcPr>
            <w:tcW w:w="236" w:type="dxa"/>
            <w:tcBorders>
              <w:top w:val="nil"/>
              <w:left w:val="nil"/>
              <w:bottom w:val="nil"/>
              <w:right w:val="nil"/>
            </w:tcBorders>
          </w:tcPr>
          <w:p w:rsidR="00424C1D" w:rsidRPr="00BC57A2" w:rsidRDefault="00424C1D" w:rsidP="00424C1D">
            <w:pPr>
              <w:rPr>
                <w:b/>
              </w:rPr>
            </w:pPr>
          </w:p>
        </w:tc>
        <w:tc>
          <w:tcPr>
            <w:tcW w:w="980" w:type="dxa"/>
            <w:tcBorders>
              <w:top w:val="single" w:sz="4" w:space="0" w:color="auto"/>
              <w:left w:val="nil"/>
              <w:bottom w:val="single" w:sz="4" w:space="0" w:color="auto"/>
              <w:right w:val="nil"/>
            </w:tcBorders>
          </w:tcPr>
          <w:p w:rsidR="00424C1D" w:rsidRPr="00BC57A2" w:rsidRDefault="00424C1D" w:rsidP="00424C1D">
            <w:pPr>
              <w:rPr>
                <w:b/>
              </w:rPr>
            </w:pPr>
            <w:r w:rsidRPr="00BC57A2">
              <w:rPr>
                <w:b/>
              </w:rPr>
              <w:t>2019/20 (£000)</w:t>
            </w:r>
          </w:p>
        </w:tc>
      </w:tr>
      <w:tr w:rsidR="00424C1D" w:rsidRPr="00BC57A2" w:rsidTr="00424C1D">
        <w:tc>
          <w:tcPr>
            <w:tcW w:w="3142" w:type="dxa"/>
            <w:tcBorders>
              <w:top w:val="single" w:sz="4" w:space="0" w:color="auto"/>
              <w:left w:val="nil"/>
              <w:bottom w:val="single" w:sz="4" w:space="0" w:color="BFBFBF" w:themeColor="background1" w:themeShade="BF"/>
              <w:right w:val="nil"/>
            </w:tcBorders>
          </w:tcPr>
          <w:p w:rsidR="00424C1D" w:rsidRPr="00BC57A2" w:rsidRDefault="00424C1D" w:rsidP="00424C1D">
            <w:pPr>
              <w:spacing w:after="120"/>
            </w:pPr>
            <w:r w:rsidRPr="00BC57A2">
              <w:t>Non recurrent staff costs (IS)</w:t>
            </w:r>
          </w:p>
        </w:tc>
        <w:tc>
          <w:tcPr>
            <w:tcW w:w="234"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uto"/>
              <w:left w:val="nil"/>
              <w:bottom w:val="single" w:sz="4" w:space="0" w:color="BFBFBF" w:themeColor="background1" w:themeShade="BF"/>
              <w:right w:val="nil"/>
            </w:tcBorders>
          </w:tcPr>
          <w:p w:rsidR="00424C1D" w:rsidRPr="00BC57A2" w:rsidRDefault="00424C1D" w:rsidP="00424C1D">
            <w:pPr>
              <w:spacing w:after="120"/>
            </w:pPr>
            <w:r w:rsidRPr="00BC57A2">
              <w:t>25</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uto"/>
              <w:left w:val="nil"/>
              <w:bottom w:val="single" w:sz="4" w:space="0" w:color="BFBFBF" w:themeColor="background1" w:themeShade="BF"/>
              <w:right w:val="nil"/>
            </w:tcBorders>
          </w:tcPr>
          <w:p w:rsidR="00424C1D" w:rsidRPr="00BC57A2" w:rsidRDefault="00424C1D" w:rsidP="00424C1D">
            <w:pPr>
              <w:spacing w:after="120"/>
            </w:pPr>
            <w:r w:rsidRPr="00BC57A2">
              <w:t>25</w:t>
            </w:r>
          </w:p>
        </w:tc>
        <w:tc>
          <w:tcPr>
            <w:tcW w:w="26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uto"/>
              <w:left w:val="nil"/>
              <w:bottom w:val="single" w:sz="4" w:space="0" w:color="BFBFBF" w:themeColor="background1" w:themeShade="BF"/>
              <w:right w:val="nil"/>
            </w:tcBorders>
          </w:tcPr>
          <w:p w:rsidR="00424C1D" w:rsidRPr="00BC57A2" w:rsidRDefault="00424C1D" w:rsidP="00424C1D">
            <w:pPr>
              <w:spacing w:after="120"/>
            </w:pPr>
            <w:r w:rsidRPr="00BC57A2">
              <w:t>13</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uto"/>
              <w:left w:val="nil"/>
              <w:bottom w:val="single" w:sz="4" w:space="0" w:color="BFBFBF" w:themeColor="background1" w:themeShade="BF"/>
              <w:right w:val="nil"/>
            </w:tcBorders>
          </w:tcPr>
          <w:p w:rsidR="00424C1D" w:rsidRPr="00BC57A2" w:rsidRDefault="00424C1D" w:rsidP="00424C1D">
            <w:pPr>
              <w:spacing w:after="120"/>
            </w:pPr>
            <w:r>
              <w:t>0</w:t>
            </w:r>
          </w:p>
        </w:tc>
        <w:tc>
          <w:tcPr>
            <w:tcW w:w="23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uto"/>
              <w:left w:val="nil"/>
              <w:bottom w:val="single" w:sz="4" w:space="0" w:color="BFBFBF" w:themeColor="background1" w:themeShade="BF"/>
              <w:right w:val="nil"/>
            </w:tcBorders>
          </w:tcPr>
          <w:p w:rsidR="00424C1D" w:rsidRPr="00BC57A2" w:rsidRDefault="00424C1D" w:rsidP="00424C1D">
            <w:pPr>
              <w:spacing w:after="120"/>
            </w:pPr>
            <w:r>
              <w:t>0</w:t>
            </w:r>
          </w:p>
        </w:tc>
      </w:tr>
      <w:tr w:rsidR="00424C1D" w:rsidRPr="00BC57A2"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Efficiencies – staff costs (IS)</w:t>
            </w:r>
          </w:p>
        </w:tc>
        <w:tc>
          <w:tcPr>
            <w:tcW w:w="234"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0</w:t>
            </w:r>
          </w:p>
        </w:tc>
        <w:tc>
          <w:tcPr>
            <w:tcW w:w="26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(50)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(50)</w:t>
            </w:r>
          </w:p>
        </w:tc>
        <w:tc>
          <w:tcPr>
            <w:tcW w:w="23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(50)</w:t>
            </w:r>
          </w:p>
        </w:tc>
      </w:tr>
      <w:tr w:rsidR="00424C1D" w:rsidRPr="00BC57A2"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Efficiencies – maintenance (IS)</w:t>
            </w:r>
          </w:p>
        </w:tc>
        <w:tc>
          <w:tcPr>
            <w:tcW w:w="234"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(10)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(30)</w:t>
            </w:r>
          </w:p>
        </w:tc>
        <w:tc>
          <w:tcPr>
            <w:tcW w:w="26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(40)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(40)</w:t>
            </w:r>
          </w:p>
        </w:tc>
        <w:tc>
          <w:tcPr>
            <w:tcW w:w="23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BC57A2" w:rsidRDefault="00424C1D" w:rsidP="00424C1D">
            <w:pPr>
              <w:spacing w:after="120"/>
            </w:pPr>
            <w:r w:rsidRPr="00BC57A2">
              <w:t>(40)</w:t>
            </w:r>
          </w:p>
        </w:tc>
      </w:tr>
      <w:tr w:rsidR="00424C1D" w:rsidRPr="00BC57A2" w:rsidTr="00424C1D">
        <w:tc>
          <w:tcPr>
            <w:tcW w:w="3142" w:type="dxa"/>
            <w:tcBorders>
              <w:top w:val="single" w:sz="4" w:space="0" w:color="A6A6A6" w:themeColor="background1" w:themeShade="A6"/>
              <w:left w:val="nil"/>
              <w:right w:val="nil"/>
            </w:tcBorders>
          </w:tcPr>
          <w:p w:rsidR="00424C1D" w:rsidRPr="00BC57A2" w:rsidRDefault="00424C1D" w:rsidP="00424C1D">
            <w:pPr>
              <w:spacing w:after="120"/>
            </w:pPr>
            <w:r w:rsidRPr="00BC57A2">
              <w:t>Depreciation Charge</w:t>
            </w:r>
            <w:r w:rsidRPr="00BC57A2">
              <w:rPr>
                <w:sz w:val="16"/>
                <w:szCs w:val="16"/>
              </w:rPr>
              <w:t xml:space="preserve">* </w:t>
            </w:r>
            <w:r w:rsidRPr="00BC57A2">
              <w:t>(Central)</w:t>
            </w:r>
          </w:p>
        </w:tc>
        <w:tc>
          <w:tcPr>
            <w:tcW w:w="234" w:type="dxa"/>
            <w:tcBorders>
              <w:top w:val="nil"/>
              <w:left w:val="nil"/>
              <w:bottom w:val="nil"/>
              <w:right w:val="nil"/>
            </w:tcBorders>
          </w:tcPr>
          <w:p w:rsidR="00424C1D" w:rsidRPr="00BC57A2" w:rsidRDefault="00424C1D" w:rsidP="00424C1D">
            <w:pPr>
              <w:spacing w:after="120"/>
              <w:rPr>
                <w:sz w:val="8"/>
                <w:szCs w:val="8"/>
              </w:rPr>
            </w:pPr>
          </w:p>
        </w:tc>
        <w:tc>
          <w:tcPr>
            <w:tcW w:w="980" w:type="dxa"/>
            <w:tcBorders>
              <w:top w:val="single" w:sz="4" w:space="0" w:color="A6A6A6" w:themeColor="background1" w:themeShade="A6"/>
              <w:left w:val="nil"/>
              <w:right w:val="nil"/>
            </w:tcBorders>
          </w:tcPr>
          <w:p w:rsidR="00424C1D" w:rsidRPr="00BC57A2" w:rsidRDefault="00424C1D" w:rsidP="00424C1D">
            <w:pPr>
              <w:spacing w:after="120"/>
            </w:pPr>
            <w:r w:rsidRPr="00BC57A2">
              <w:t>0</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6A6A6" w:themeColor="background1" w:themeShade="A6"/>
              <w:left w:val="nil"/>
              <w:right w:val="nil"/>
            </w:tcBorders>
          </w:tcPr>
          <w:p w:rsidR="00424C1D" w:rsidRPr="00BC57A2" w:rsidRDefault="00424C1D" w:rsidP="00424C1D">
            <w:pPr>
              <w:spacing w:after="120"/>
            </w:pPr>
            <w:r w:rsidRPr="00BC57A2">
              <w:t>175</w:t>
            </w:r>
          </w:p>
        </w:tc>
        <w:tc>
          <w:tcPr>
            <w:tcW w:w="26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6A6A6" w:themeColor="background1" w:themeShade="A6"/>
              <w:left w:val="nil"/>
              <w:right w:val="nil"/>
            </w:tcBorders>
          </w:tcPr>
          <w:p w:rsidR="00424C1D" w:rsidRPr="00BC57A2" w:rsidRDefault="00424C1D" w:rsidP="00424C1D">
            <w:pPr>
              <w:spacing w:after="120"/>
            </w:pPr>
            <w:r w:rsidRPr="00BC57A2">
              <w:t>425</w:t>
            </w:r>
          </w:p>
        </w:tc>
        <w:tc>
          <w:tcPr>
            <w:tcW w:w="232"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6A6A6" w:themeColor="background1" w:themeShade="A6"/>
              <w:left w:val="nil"/>
              <w:right w:val="nil"/>
            </w:tcBorders>
          </w:tcPr>
          <w:p w:rsidR="00424C1D" w:rsidRPr="00BC57A2" w:rsidRDefault="00424C1D" w:rsidP="00424C1D">
            <w:pPr>
              <w:spacing w:after="120"/>
            </w:pPr>
            <w:r w:rsidRPr="00BC57A2">
              <w:t>500</w:t>
            </w:r>
          </w:p>
        </w:tc>
        <w:tc>
          <w:tcPr>
            <w:tcW w:w="236" w:type="dxa"/>
            <w:tcBorders>
              <w:top w:val="nil"/>
              <w:left w:val="nil"/>
              <w:bottom w:val="nil"/>
              <w:right w:val="nil"/>
            </w:tcBorders>
          </w:tcPr>
          <w:p w:rsidR="00424C1D" w:rsidRPr="00BC57A2" w:rsidRDefault="00424C1D" w:rsidP="00424C1D">
            <w:pPr>
              <w:spacing w:after="120"/>
            </w:pPr>
          </w:p>
        </w:tc>
        <w:tc>
          <w:tcPr>
            <w:tcW w:w="980" w:type="dxa"/>
            <w:tcBorders>
              <w:top w:val="single" w:sz="4" w:space="0" w:color="A6A6A6" w:themeColor="background1" w:themeShade="A6"/>
              <w:left w:val="nil"/>
              <w:right w:val="nil"/>
            </w:tcBorders>
          </w:tcPr>
          <w:p w:rsidR="00424C1D" w:rsidRPr="00BC57A2" w:rsidRDefault="00424C1D" w:rsidP="00424C1D">
            <w:pPr>
              <w:spacing w:after="120"/>
            </w:pPr>
            <w:r w:rsidRPr="00BC57A2">
              <w:t>500</w:t>
            </w:r>
          </w:p>
        </w:tc>
      </w:tr>
    </w:tbl>
    <w:p w:rsidR="00424C1D" w:rsidRPr="00BC57A2" w:rsidRDefault="00424C1D" w:rsidP="00424C1D">
      <w:pPr>
        <w:spacing w:after="120"/>
        <w:rPr>
          <w:sz w:val="16"/>
          <w:szCs w:val="16"/>
        </w:rPr>
      </w:pPr>
      <w:r w:rsidRPr="00BC57A2">
        <w:rPr>
          <w:sz w:val="16"/>
          <w:szCs w:val="16"/>
        </w:rPr>
        <w:t xml:space="preserve">* Remaining </w:t>
      </w:r>
      <w:proofErr w:type="spellStart"/>
      <w:r w:rsidRPr="00BC57A2">
        <w:rPr>
          <w:sz w:val="16"/>
          <w:szCs w:val="16"/>
        </w:rPr>
        <w:t>Dep’n</w:t>
      </w:r>
      <w:proofErr w:type="spellEnd"/>
      <w:r w:rsidRPr="00BC57A2">
        <w:rPr>
          <w:sz w:val="16"/>
          <w:szCs w:val="16"/>
        </w:rPr>
        <w:t xml:space="preserve"> Charge for the period 2021/22 to 2022/23 is £400k</w:t>
      </w:r>
    </w:p>
    <w:p w:rsidR="00424C1D" w:rsidRPr="00BC57A2" w:rsidRDefault="00424C1D" w:rsidP="00424C1D">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RPr="00BC57A2" w:rsidTr="00424C1D">
        <w:tc>
          <w:tcPr>
            <w:tcW w:w="1985" w:type="dxa"/>
            <w:tcBorders>
              <w:top w:val="single" w:sz="4" w:space="0" w:color="auto"/>
              <w:left w:val="single" w:sz="4" w:space="0" w:color="auto"/>
              <w:bottom w:val="single" w:sz="4" w:space="0" w:color="auto"/>
              <w:right w:val="nil"/>
            </w:tcBorders>
          </w:tcPr>
          <w:p w:rsidR="00424C1D" w:rsidRPr="00BC57A2" w:rsidRDefault="00424C1D" w:rsidP="00424C1D">
            <w:pPr>
              <w:rPr>
                <w:b/>
              </w:rPr>
            </w:pPr>
            <w:r w:rsidRPr="00BC57A2">
              <w:rPr>
                <w:b/>
              </w:rPr>
              <w:t>Cost Category</w:t>
            </w:r>
          </w:p>
        </w:tc>
        <w:tc>
          <w:tcPr>
            <w:tcW w:w="2410" w:type="dxa"/>
            <w:tcBorders>
              <w:top w:val="single" w:sz="4" w:space="0" w:color="auto"/>
              <w:left w:val="nil"/>
              <w:bottom w:val="single" w:sz="4" w:space="0" w:color="auto"/>
              <w:right w:val="single" w:sz="4" w:space="0" w:color="auto"/>
            </w:tcBorders>
          </w:tcPr>
          <w:p w:rsidR="00424C1D" w:rsidRPr="00BC57A2" w:rsidRDefault="00424C1D" w:rsidP="00424C1D">
            <w:pPr>
              <w:rPr>
                <w:b/>
              </w:rPr>
            </w:pPr>
            <w:r w:rsidRPr="00BC57A2">
              <w:rPr>
                <w:b/>
              </w:rPr>
              <w:t>Confidence</w:t>
            </w:r>
          </w:p>
        </w:tc>
      </w:tr>
      <w:tr w:rsidR="00424C1D" w:rsidRPr="00BC57A2" w:rsidTr="00424C1D">
        <w:tc>
          <w:tcPr>
            <w:tcW w:w="1985" w:type="dxa"/>
            <w:tcBorders>
              <w:top w:val="single" w:sz="4" w:space="0" w:color="auto"/>
              <w:left w:val="single" w:sz="4" w:space="0" w:color="auto"/>
              <w:bottom w:val="single" w:sz="4" w:space="0" w:color="BFBFBF" w:themeColor="background1" w:themeShade="BF"/>
              <w:right w:val="nil"/>
            </w:tcBorders>
          </w:tcPr>
          <w:p w:rsidR="00424C1D" w:rsidRPr="00BC57A2" w:rsidRDefault="00424C1D" w:rsidP="00424C1D">
            <w:r w:rsidRPr="00BC57A2">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Pr="00BC57A2" w:rsidRDefault="00424C1D" w:rsidP="00424C1D">
            <w:pPr>
              <w:tabs>
                <w:tab w:val="clear" w:pos="720"/>
                <w:tab w:val="right" w:pos="2194"/>
              </w:tabs>
            </w:pPr>
            <w:r w:rsidRPr="00BC57A2">
              <w:t>High</w:t>
            </w:r>
          </w:p>
        </w:tc>
      </w:tr>
      <w:tr w:rsidR="00424C1D" w:rsidRPr="00BC57A2" w:rsidTr="00424C1D">
        <w:tc>
          <w:tcPr>
            <w:tcW w:w="1985" w:type="dxa"/>
            <w:tcBorders>
              <w:top w:val="single" w:sz="4" w:space="0" w:color="BFBFBF" w:themeColor="background1" w:themeShade="BF"/>
              <w:left w:val="single" w:sz="4" w:space="0" w:color="auto"/>
              <w:bottom w:val="single" w:sz="4" w:space="0" w:color="auto"/>
              <w:right w:val="nil"/>
            </w:tcBorders>
          </w:tcPr>
          <w:p w:rsidR="00424C1D" w:rsidRPr="00BC57A2" w:rsidRDefault="00424C1D" w:rsidP="00424C1D">
            <w:r w:rsidRPr="00BC57A2">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Pr="00BC57A2" w:rsidRDefault="00424C1D" w:rsidP="00424C1D">
            <w:r w:rsidRPr="00BC57A2">
              <w:t>High</w:t>
            </w:r>
          </w:p>
        </w:tc>
      </w:tr>
    </w:tbl>
    <w:p w:rsidR="00424C1D" w:rsidRDefault="00424C1D" w:rsidP="00424C1D">
      <w:pPr>
        <w:tabs>
          <w:tab w:val="clear" w:pos="720"/>
        </w:tabs>
        <w:suppressAutoHyphens w:val="0"/>
        <w:rPr>
          <w:color w:val="auto"/>
        </w:rPr>
      </w:pPr>
    </w:p>
    <w:p w:rsidR="00424C1D" w:rsidRDefault="00424C1D" w:rsidP="00424C1D">
      <w:pPr>
        <w:tabs>
          <w:tab w:val="clear" w:pos="720"/>
        </w:tabs>
        <w:suppressAutoHyphens w:val="0"/>
      </w:pPr>
      <w:r>
        <w:br w:type="page"/>
      </w:r>
    </w:p>
    <w:p w:rsidR="00424C1D" w:rsidRDefault="00424C1D" w:rsidP="00424C1D">
      <w:pPr>
        <w:pStyle w:val="Heading4"/>
      </w:pPr>
      <w:r>
        <w:lastRenderedPageBreak/>
        <w:t>Project: Enterprise server and storage – capacity (Grow)</w:t>
      </w:r>
    </w:p>
    <w:p w:rsidR="00424C1D" w:rsidRDefault="00424C1D" w:rsidP="00424C1D">
      <w:pPr>
        <w:pStyle w:val="Textbody"/>
        <w:spacing w:after="0"/>
      </w:pPr>
      <w:r>
        <w:rPr>
          <w:b/>
          <w:sz w:val="20"/>
          <w:szCs w:val="20"/>
        </w:rPr>
        <w:t>Infrastructure Category: Hardware</w:t>
      </w:r>
    </w:p>
    <w:p w:rsidR="00424C1D" w:rsidRDefault="00424C1D" w:rsidP="00424C1D">
      <w:pPr>
        <w:pStyle w:val="Textbody"/>
        <w:rPr>
          <w:color w:val="auto"/>
        </w:rPr>
      </w:pPr>
      <w:r w:rsidRPr="00B57DE3">
        <w:rPr>
          <w:color w:val="auto"/>
        </w:rPr>
        <w:t>The University's enterprise applications deliver a wide range of business functions: from corporate services such as HR and finance; IT functions such as Identity Management and Web Portals; and Online teaching and learning such as Virtual Learning Environments.  This investment will deliver the capacity growth to deliver new enterprise services, and in particular the growth of on-premises infrastructure to support on-line learning and teaching.</w:t>
      </w:r>
      <w:r>
        <w:rPr>
          <w:color w:val="auto"/>
        </w:rPr>
        <w:t xml:space="preserve">  </w:t>
      </w:r>
    </w:p>
    <w:p w:rsidR="00424C1D" w:rsidRPr="00B57DE3" w:rsidRDefault="00424C1D" w:rsidP="00424C1D">
      <w:pPr>
        <w:pStyle w:val="Textbody"/>
        <w:rPr>
          <w:color w:val="auto"/>
        </w:rPr>
      </w:pPr>
      <w:r w:rsidRPr="00B57DE3">
        <w:rPr>
          <w:color w:val="auto"/>
        </w:rPr>
        <w:t xml:space="preserve">The portfolio of enterprise services is growing – we are running approximately £3m of business change IT projects every year. At the same time the demand for those services to be highly available 24*7 is growing </w:t>
      </w:r>
      <w:proofErr w:type="spellStart"/>
      <w:r w:rsidRPr="00B57DE3">
        <w:rPr>
          <w:color w:val="auto"/>
        </w:rPr>
        <w:t>eg</w:t>
      </w:r>
      <w:proofErr w:type="spellEnd"/>
      <w:r w:rsidRPr="00B57DE3">
        <w:rPr>
          <w:color w:val="auto"/>
        </w:rPr>
        <w:t xml:space="preserve"> DEI students are expected to grow from circa 2,000 to 10,000 and are distributed through all time zones. Meeting these increases in usage and service availability requires faster growth in our server and storage capacity than will be met from increases in technical capability per £.</w:t>
      </w:r>
      <w:r w:rsidRPr="00B57DE3">
        <w:t xml:space="preserve"> </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576E67">
              <w:rPr>
                <w:i/>
              </w:rPr>
              <w:t>Excellence In Education</w:t>
            </w:r>
            <w:r w:rsidRPr="00576E67">
              <w:t xml:space="preserve">: </w:t>
            </w:r>
            <w:r w:rsidRPr="00576E67">
              <w:rPr>
                <w:bCs/>
              </w:rPr>
              <w:t>Distance Education Provision</w:t>
            </w:r>
            <w:r>
              <w:rPr>
                <w:bCs/>
              </w:rPr>
              <w:t xml:space="preserve"> ; </w:t>
            </w:r>
            <w:r w:rsidRPr="00576E67">
              <w:rPr>
                <w:bCs/>
              </w:rPr>
              <w:t>New Technologies in Education</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576E67">
              <w:rPr>
                <w:bCs/>
                <w:i/>
              </w:rPr>
              <w:t>Infrastructure</w:t>
            </w:r>
            <w:r w:rsidRPr="00576E67">
              <w:rPr>
                <w:bCs/>
              </w:rPr>
              <w:t>: Infrastructure Power and Resilience</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sidRPr="00AF40D6">
              <w:rPr>
                <w:b/>
              </w:rPr>
              <w:t>Enterprise and Server Storage</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85</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100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130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85</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35</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100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130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Maintenance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15</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15</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15</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 xml:space="preserve">Efficiencies </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955A13" w:rsidRDefault="00424C1D" w:rsidP="00424C1D">
            <w:pPr>
              <w:pStyle w:val="Textbody"/>
            </w:pPr>
            <w:r w:rsidRPr="00AF40D6">
              <w:t>Depreciation Charge</w:t>
            </w:r>
            <w:r w:rsidRPr="00EE0BE3">
              <w:rPr>
                <w:sz w:val="16"/>
                <w:szCs w:val="16"/>
              </w:rPr>
              <w:t>*</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1F6D48" w:rsidRDefault="00424C1D" w:rsidP="00424C1D">
            <w:pPr>
              <w:pStyle w:val="Textbody"/>
            </w:pPr>
            <w:r>
              <w:t>0</w:t>
            </w:r>
          </w:p>
        </w:tc>
        <w:tc>
          <w:tcPr>
            <w:tcW w:w="232" w:type="dxa"/>
            <w:tcBorders>
              <w:top w:val="nil"/>
              <w:left w:val="nil"/>
              <w:bottom w:val="nil"/>
              <w:right w:val="nil"/>
            </w:tcBorders>
          </w:tcPr>
          <w:p w:rsidR="00424C1D" w:rsidRPr="001F6D48" w:rsidRDefault="00424C1D" w:rsidP="00424C1D">
            <w:pPr>
              <w:pStyle w:val="Textbody"/>
            </w:pPr>
          </w:p>
        </w:tc>
        <w:tc>
          <w:tcPr>
            <w:tcW w:w="980" w:type="dxa"/>
            <w:tcBorders>
              <w:top w:val="single" w:sz="4" w:space="0" w:color="A6A6A6" w:themeColor="background1" w:themeShade="A6"/>
              <w:left w:val="nil"/>
              <w:right w:val="nil"/>
            </w:tcBorders>
          </w:tcPr>
          <w:p w:rsidR="00424C1D" w:rsidRPr="001F6D48" w:rsidRDefault="00424C1D" w:rsidP="00424C1D">
            <w:pPr>
              <w:pStyle w:val="Textbody"/>
            </w:pPr>
            <w:r>
              <w:t>17</w:t>
            </w:r>
          </w:p>
        </w:tc>
        <w:tc>
          <w:tcPr>
            <w:tcW w:w="266" w:type="dxa"/>
            <w:tcBorders>
              <w:top w:val="nil"/>
              <w:left w:val="nil"/>
              <w:bottom w:val="nil"/>
              <w:right w:val="nil"/>
            </w:tcBorders>
          </w:tcPr>
          <w:p w:rsidR="00424C1D" w:rsidRPr="001F6D48" w:rsidRDefault="00424C1D" w:rsidP="00424C1D">
            <w:pPr>
              <w:pStyle w:val="Textbody"/>
            </w:pPr>
          </w:p>
        </w:tc>
        <w:tc>
          <w:tcPr>
            <w:tcW w:w="980" w:type="dxa"/>
            <w:tcBorders>
              <w:top w:val="single" w:sz="4" w:space="0" w:color="A6A6A6" w:themeColor="background1" w:themeShade="A6"/>
              <w:left w:val="nil"/>
              <w:right w:val="nil"/>
            </w:tcBorders>
          </w:tcPr>
          <w:p w:rsidR="00424C1D" w:rsidRPr="001F6D48" w:rsidRDefault="00424C1D" w:rsidP="00424C1D">
            <w:pPr>
              <w:pStyle w:val="Textbody"/>
            </w:pPr>
            <w:r>
              <w:t>39</w:t>
            </w:r>
          </w:p>
        </w:tc>
        <w:tc>
          <w:tcPr>
            <w:tcW w:w="232" w:type="dxa"/>
            <w:tcBorders>
              <w:top w:val="nil"/>
              <w:left w:val="nil"/>
              <w:bottom w:val="nil"/>
              <w:right w:val="nil"/>
            </w:tcBorders>
          </w:tcPr>
          <w:p w:rsidR="00424C1D" w:rsidRPr="001F6D48" w:rsidRDefault="00424C1D" w:rsidP="00424C1D">
            <w:pPr>
              <w:pStyle w:val="Textbody"/>
            </w:pPr>
          </w:p>
        </w:tc>
        <w:tc>
          <w:tcPr>
            <w:tcW w:w="980" w:type="dxa"/>
            <w:tcBorders>
              <w:top w:val="single" w:sz="4" w:space="0" w:color="A6A6A6" w:themeColor="background1" w:themeShade="A6"/>
              <w:left w:val="nil"/>
              <w:right w:val="nil"/>
            </w:tcBorders>
          </w:tcPr>
          <w:p w:rsidR="00424C1D" w:rsidRPr="001F6D48" w:rsidRDefault="00424C1D" w:rsidP="00424C1D">
            <w:pPr>
              <w:pStyle w:val="Textbody"/>
            </w:pPr>
            <w:r>
              <w:t>48</w:t>
            </w:r>
          </w:p>
        </w:tc>
        <w:tc>
          <w:tcPr>
            <w:tcW w:w="236" w:type="dxa"/>
            <w:tcBorders>
              <w:top w:val="nil"/>
              <w:left w:val="nil"/>
              <w:bottom w:val="nil"/>
              <w:right w:val="nil"/>
            </w:tcBorders>
          </w:tcPr>
          <w:p w:rsidR="00424C1D" w:rsidRPr="001F6D48" w:rsidRDefault="00424C1D" w:rsidP="00424C1D">
            <w:pPr>
              <w:pStyle w:val="Textbody"/>
            </w:pPr>
          </w:p>
        </w:tc>
        <w:tc>
          <w:tcPr>
            <w:tcW w:w="980" w:type="dxa"/>
            <w:tcBorders>
              <w:top w:val="single" w:sz="4" w:space="0" w:color="A6A6A6" w:themeColor="background1" w:themeShade="A6"/>
              <w:left w:val="nil"/>
              <w:right w:val="nil"/>
            </w:tcBorders>
          </w:tcPr>
          <w:p w:rsidR="00424C1D" w:rsidRPr="001F6D48" w:rsidRDefault="00424C1D" w:rsidP="00424C1D">
            <w:pPr>
              <w:pStyle w:val="Textbody"/>
            </w:pPr>
            <w:r>
              <w:t>72</w:t>
            </w:r>
          </w:p>
        </w:tc>
      </w:tr>
    </w:tbl>
    <w:p w:rsidR="00424C1D" w:rsidRDefault="00424C1D" w:rsidP="00424C1D">
      <w:pPr>
        <w:pStyle w:val="Textbody"/>
        <w:rPr>
          <w:sz w:val="16"/>
          <w:szCs w:val="16"/>
        </w:rPr>
      </w:pPr>
      <w:r>
        <w:rPr>
          <w:sz w:val="16"/>
          <w:szCs w:val="16"/>
        </w:rPr>
        <w:t xml:space="preserve">Remaining </w:t>
      </w:r>
      <w:proofErr w:type="spellStart"/>
      <w:r>
        <w:rPr>
          <w:sz w:val="16"/>
          <w:szCs w:val="16"/>
        </w:rPr>
        <w:t>Dep’n</w:t>
      </w:r>
      <w:proofErr w:type="spellEnd"/>
      <w:r>
        <w:rPr>
          <w:sz w:val="16"/>
          <w:szCs w:val="16"/>
        </w:rPr>
        <w:t xml:space="preserve"> Charge for the period 2021/22 to 2022/23 is £244k</w:t>
      </w:r>
    </w:p>
    <w:p w:rsidR="00424C1D" w:rsidRPr="001F6D48" w:rsidRDefault="00424C1D" w:rsidP="00424C1D">
      <w:pPr>
        <w:pStyle w:val="Textbody"/>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Medium</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Medium</w:t>
            </w:r>
          </w:p>
        </w:tc>
      </w:tr>
    </w:tbl>
    <w:p w:rsidR="00424C1D" w:rsidRDefault="00424C1D" w:rsidP="00424C1D"/>
    <w:p w:rsidR="00424C1D" w:rsidRDefault="00424C1D" w:rsidP="00424C1D">
      <w:pPr>
        <w:tabs>
          <w:tab w:val="clear" w:pos="720"/>
        </w:tabs>
        <w:suppressAutoHyphens w:val="0"/>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br w:type="page"/>
      </w:r>
    </w:p>
    <w:p w:rsidR="00424C1D" w:rsidRDefault="00424C1D" w:rsidP="00424C1D">
      <w:pPr>
        <w:pStyle w:val="Heading4"/>
      </w:pPr>
      <w:r>
        <w:lastRenderedPageBreak/>
        <w:t>Project: Additional file storage (Grow)</w:t>
      </w:r>
    </w:p>
    <w:p w:rsidR="00424C1D" w:rsidRDefault="00424C1D" w:rsidP="00424C1D">
      <w:pPr>
        <w:pStyle w:val="Textbody"/>
        <w:spacing w:after="0"/>
      </w:pPr>
      <w:r>
        <w:rPr>
          <w:b/>
          <w:sz w:val="20"/>
          <w:szCs w:val="20"/>
        </w:rPr>
        <w:t>Infrastructure Category: Hardware</w:t>
      </w:r>
    </w:p>
    <w:p w:rsidR="00424C1D" w:rsidRPr="00B57DE3" w:rsidRDefault="00424C1D" w:rsidP="00424C1D">
      <w:pPr>
        <w:pStyle w:val="Textbody"/>
        <w:spacing w:after="0"/>
        <w:rPr>
          <w:bCs/>
          <w:color w:val="auto"/>
        </w:rPr>
      </w:pPr>
      <w:r w:rsidRPr="00B57DE3">
        <w:rPr>
          <w:bCs/>
          <w:color w:val="auto"/>
        </w:rPr>
        <w:t>We expect the uptake and population of the current free at point of use 0.5TB allocation to researchers to increase</w:t>
      </w:r>
      <w:r>
        <w:rPr>
          <w:bCs/>
          <w:color w:val="auto"/>
        </w:rPr>
        <w:t>,</w:t>
      </w:r>
      <w:r w:rsidRPr="00B57DE3">
        <w:rPr>
          <w:bCs/>
          <w:color w:val="auto"/>
        </w:rPr>
        <w:t xml:space="preserve"> which will require additional storage</w:t>
      </w:r>
      <w:r>
        <w:rPr>
          <w:bCs/>
          <w:color w:val="auto"/>
        </w:rPr>
        <w:t xml:space="preserve"> to honour this allocation</w:t>
      </w:r>
      <w:r w:rsidRPr="00B57DE3">
        <w:rPr>
          <w:bCs/>
          <w:color w:val="auto"/>
        </w:rPr>
        <w:t>.  Alongside this growth, individual researcher demands on storage are also expected to increase which may warrant an increase in the per user allocation.  The provision of free at point of use services promotes de-duplication and delivers institutional efficiency</w:t>
      </w:r>
    </w:p>
    <w:p w:rsidR="00424C1D" w:rsidRPr="00B57DE3" w:rsidRDefault="00424C1D" w:rsidP="00424C1D">
      <w:pPr>
        <w:pStyle w:val="Textbody"/>
        <w:spacing w:after="0"/>
        <w:rPr>
          <w:color w:val="auto"/>
        </w:rPr>
      </w:pPr>
    </w:p>
    <w:p w:rsidR="00424C1D" w:rsidRPr="00B57DE3" w:rsidRDefault="00424C1D" w:rsidP="00424C1D">
      <w:pPr>
        <w:pStyle w:val="Textbody"/>
      </w:pPr>
      <w:r w:rsidRPr="00B57DE3">
        <w:t>Expansion of file-storage to meet increased data needs of research. In many areas the year on year increase in capacity and performance units per pound allows for the growth in requirements to be met by a flat or reduced spend over time.  We currently predict that the requirements for research storage will outstrip the capacity increase which flat spend would deliver.  This investment will increase the free at point of use storage capacity available to researchers.  Investment would be guided by capacity planning.</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line="240" w:lineRule="auto"/>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line="240" w:lineRule="auto"/>
            </w:pPr>
            <w:r w:rsidRPr="00576E67">
              <w:rPr>
                <w:i/>
                <w:iCs/>
              </w:rPr>
              <w:t>Excellence In Research</w:t>
            </w:r>
            <w:r>
              <w:rPr>
                <w:iCs/>
              </w:rPr>
              <w:t xml:space="preserve">: </w:t>
            </w:r>
            <w:r w:rsidRPr="00576E67">
              <w:rPr>
                <w:bCs/>
              </w:rPr>
              <w:t>Support for Pioneering Research</w:t>
            </w:r>
            <w:r w:rsidRPr="00576E67">
              <w:rPr>
                <w:i/>
                <w:iCs/>
              </w:rPr>
              <w:t xml:space="preserve"> ; </w:t>
            </w:r>
            <w:r>
              <w:rPr>
                <w:bCs/>
              </w:rPr>
              <w:t>Efficiency in Research S</w:t>
            </w:r>
            <w:r w:rsidRPr="00576E67">
              <w:rPr>
                <w:bCs/>
              </w:rPr>
              <w:t>upport</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line="240" w:lineRule="auto"/>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line="240" w:lineRule="auto"/>
            </w:pPr>
            <w:r w:rsidRPr="00576E67">
              <w:rPr>
                <w:bCs/>
                <w:i/>
              </w:rPr>
              <w:t>Infrastructure</w:t>
            </w:r>
            <w:r w:rsidRPr="00576E67">
              <w:rPr>
                <w:bCs/>
              </w:rPr>
              <w:t>: Infrastructure Power and Resilience</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line="240" w:lineRule="auto"/>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line="240" w:lineRule="auto"/>
            </w:pP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Additional File Storage</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400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1,000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400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1,000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Default="00424C1D" w:rsidP="00424C1D">
            <w:pPr>
              <w:pStyle w:val="Textbody"/>
            </w:pPr>
            <w:r>
              <w:t xml:space="preserve">Costs </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955A13" w:rsidRDefault="00424C1D" w:rsidP="00424C1D">
            <w:pPr>
              <w:pStyle w:val="Textbody"/>
            </w:pPr>
            <w:r w:rsidRPr="00AF40D6">
              <w:t>Depreciation Charge</w:t>
            </w:r>
            <w:r w:rsidRPr="00EE0BE3">
              <w:rPr>
                <w:sz w:val="16"/>
                <w:szCs w:val="16"/>
              </w:rPr>
              <w:t>*</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0</w:t>
            </w:r>
          </w:p>
        </w:tc>
        <w:tc>
          <w:tcPr>
            <w:tcW w:w="232"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0</w:t>
            </w:r>
          </w:p>
        </w:tc>
        <w:tc>
          <w:tcPr>
            <w:tcW w:w="266"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100</w:t>
            </w:r>
          </w:p>
        </w:tc>
        <w:tc>
          <w:tcPr>
            <w:tcW w:w="232"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100</w:t>
            </w:r>
          </w:p>
        </w:tc>
        <w:tc>
          <w:tcPr>
            <w:tcW w:w="236"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350</w:t>
            </w:r>
          </w:p>
        </w:tc>
      </w:tr>
    </w:tbl>
    <w:p w:rsidR="00424C1D" w:rsidRPr="00EE0BE3"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2022/23 is £850k</w:t>
      </w:r>
    </w:p>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Medium</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High</w:t>
            </w:r>
          </w:p>
        </w:tc>
      </w:tr>
    </w:tbl>
    <w:p w:rsidR="00424C1D" w:rsidRDefault="00424C1D" w:rsidP="00424C1D">
      <w:pPr>
        <w:pStyle w:val="Heading4"/>
        <w:rPr>
          <w:rFonts w:ascii="Calibri" w:eastAsia="WenQuanYi Micro Hei" w:hAnsi="Calibri" w:cs="Calibri"/>
          <w:b w:val="0"/>
          <w:bCs w:val="0"/>
          <w:i w:val="0"/>
          <w:iCs w:val="0"/>
          <w:color w:val="00000A"/>
        </w:rPr>
      </w:pPr>
    </w:p>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C55EB7">
      <w:pPr>
        <w:pStyle w:val="Heading4"/>
      </w:pPr>
      <w:r>
        <w:lastRenderedPageBreak/>
        <w:t>Project: R</w:t>
      </w:r>
      <w:r w:rsidRPr="00B77E8C">
        <w:t>esilient application file-store</w:t>
      </w:r>
      <w:r>
        <w:t xml:space="preserve"> (Grow)</w:t>
      </w:r>
    </w:p>
    <w:p w:rsidR="00C55EB7" w:rsidRDefault="00C55EB7" w:rsidP="00C55EB7">
      <w:pPr>
        <w:pStyle w:val="Textbody"/>
        <w:spacing w:after="0"/>
      </w:pPr>
      <w:r>
        <w:rPr>
          <w:b/>
          <w:sz w:val="20"/>
          <w:szCs w:val="20"/>
        </w:rPr>
        <w:t xml:space="preserve">Infrastructure Category:  </w:t>
      </w:r>
      <w:r w:rsidRPr="002B6C46">
        <w:rPr>
          <w:b/>
          <w:sz w:val="20"/>
          <w:szCs w:val="20"/>
        </w:rPr>
        <w:t>Hardware</w:t>
      </w:r>
    </w:p>
    <w:p w:rsidR="00C55EB7" w:rsidRDefault="00C55EB7" w:rsidP="00C55EB7">
      <w:pPr>
        <w:pStyle w:val="Textbody"/>
        <w:spacing w:after="0"/>
      </w:pPr>
      <w:r>
        <w:t xml:space="preserve">There is growth of the number and an increase in importance of enterprise applications where as well as transactional data held in databases there are documents or files associated with a transaction e.g. on-line applicants supporting documentation, invoices scanned into the finance system, web pages in the University web site. To achieve the levels of availability we expect to deliver for these applications we need to make the file system the documents are stored on resilient. At present the file systems present a single point of failure. </w:t>
      </w:r>
      <w:proofErr w:type="gramStart"/>
      <w:r>
        <w:t>Requires investment into the enterprise application storage infrastructure.</w:t>
      </w:r>
      <w:proofErr w:type="gramEnd"/>
    </w:p>
    <w:tbl>
      <w:tblPr>
        <w:tblW w:w="0" w:type="auto"/>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C55EB7" w:rsidTr="00F95BC3">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5EB7" w:rsidRPr="002047EB" w:rsidRDefault="00C55EB7" w:rsidP="00F95BC3">
            <w:pPr>
              <w:pStyle w:val="TableContents"/>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Default="00C55EB7" w:rsidP="00F95BC3">
            <w:pPr>
              <w:pStyle w:val="TableContents"/>
            </w:pPr>
          </w:p>
        </w:tc>
      </w:tr>
      <w:tr w:rsidR="00C55EB7"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C55EB7" w:rsidRPr="002047EB" w:rsidRDefault="00C55EB7" w:rsidP="00F95BC3">
            <w:pPr>
              <w:pStyle w:val="TableContents"/>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Default="00C55EB7" w:rsidP="00F95BC3">
            <w:pPr>
              <w:pStyle w:val="TableContents"/>
            </w:pPr>
            <w:r>
              <w:rPr>
                <w:i/>
                <w:iCs/>
              </w:rPr>
              <w:t xml:space="preserve">Infrastructure: </w:t>
            </w:r>
            <w:r w:rsidRPr="001D7E97">
              <w:rPr>
                <w:bCs/>
              </w:rPr>
              <w:t>Infrastructure Power and Resilience</w:t>
            </w:r>
          </w:p>
        </w:tc>
      </w:tr>
      <w:tr w:rsidR="00C55EB7"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C55EB7" w:rsidRPr="002047EB" w:rsidRDefault="00C55EB7" w:rsidP="00F95BC3">
            <w:pPr>
              <w:pStyle w:val="TableContents"/>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Default="00C55EB7" w:rsidP="00F95BC3">
            <w:pPr>
              <w:pStyle w:val="TableContents"/>
            </w:pPr>
          </w:p>
        </w:tc>
      </w:tr>
    </w:tbl>
    <w:p w:rsidR="00C55EB7" w:rsidRDefault="00C55EB7" w:rsidP="00C55EB7">
      <w:pPr>
        <w:pStyle w:val="Textbody"/>
        <w:spacing w:after="0"/>
      </w:pPr>
    </w:p>
    <w:p w:rsidR="00C55EB7" w:rsidRDefault="00C55EB7" w:rsidP="00C55EB7">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C55EB7" w:rsidTr="00F95BC3">
        <w:tc>
          <w:tcPr>
            <w:tcW w:w="3142" w:type="dxa"/>
            <w:tcBorders>
              <w:left w:val="nil"/>
              <w:right w:val="nil"/>
            </w:tcBorders>
          </w:tcPr>
          <w:p w:rsidR="00C55EB7" w:rsidRDefault="00C55EB7" w:rsidP="00F95BC3">
            <w:pPr>
              <w:pStyle w:val="Textbody"/>
              <w:spacing w:after="0"/>
              <w:rPr>
                <w:b/>
              </w:rPr>
            </w:pPr>
            <w:r>
              <w:rPr>
                <w:b/>
              </w:rPr>
              <w:t>Resilient application file-store</w:t>
            </w:r>
          </w:p>
          <w:p w:rsidR="00C55EB7" w:rsidRPr="00AF40D6" w:rsidRDefault="00C55EB7" w:rsidP="00F95BC3">
            <w:pPr>
              <w:pStyle w:val="Textbody"/>
              <w:spacing w:after="0"/>
              <w:rPr>
                <w:b/>
              </w:rPr>
            </w:pPr>
            <w:r>
              <w:rPr>
                <w:b/>
              </w:rPr>
              <w:t>Project Expenditure</w:t>
            </w:r>
          </w:p>
        </w:tc>
        <w:tc>
          <w:tcPr>
            <w:tcW w:w="234"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2015/16</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2016/17</w:t>
            </w:r>
          </w:p>
          <w:p w:rsidR="00C55EB7" w:rsidRPr="00AF40D6" w:rsidRDefault="00C55EB7" w:rsidP="00F95BC3">
            <w:pPr>
              <w:pStyle w:val="Textbody"/>
              <w:spacing w:after="0"/>
              <w:rPr>
                <w:b/>
              </w:rPr>
            </w:pPr>
            <w:r w:rsidRPr="00AF40D6">
              <w:rPr>
                <w:b/>
              </w:rPr>
              <w:t>(£000)</w:t>
            </w:r>
          </w:p>
        </w:tc>
        <w:tc>
          <w:tcPr>
            <w:tcW w:w="266"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2017/18</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2018/19 (£000)</w:t>
            </w:r>
          </w:p>
        </w:tc>
        <w:tc>
          <w:tcPr>
            <w:tcW w:w="236"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2019/20 (£000)</w:t>
            </w:r>
          </w:p>
        </w:tc>
      </w:tr>
      <w:tr w:rsidR="00C55EB7" w:rsidTr="00F95BC3">
        <w:tc>
          <w:tcPr>
            <w:tcW w:w="3142" w:type="dxa"/>
            <w:tcBorders>
              <w:left w:val="nil"/>
              <w:bottom w:val="single" w:sz="4" w:space="0" w:color="BFBFBF" w:themeColor="background1" w:themeShade="BF"/>
              <w:right w:val="nil"/>
            </w:tcBorders>
          </w:tcPr>
          <w:p w:rsidR="00C55EB7" w:rsidRPr="00AF40D6" w:rsidRDefault="00C55EB7" w:rsidP="00F95BC3">
            <w:pPr>
              <w:pStyle w:val="Textbody"/>
            </w:pPr>
            <w:r w:rsidRPr="00AF40D6">
              <w:t>Capital</w:t>
            </w:r>
            <w:r>
              <w:t xml:space="preserve"> project expenditure</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115</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r>
      <w:tr w:rsidR="00C55EB7" w:rsidTr="00F95BC3">
        <w:tc>
          <w:tcPr>
            <w:tcW w:w="3142"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Revenue project expenditure</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r>
      <w:tr w:rsidR="00C55EB7" w:rsidTr="00F95BC3">
        <w:tc>
          <w:tcPr>
            <w:tcW w:w="3142"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115</w:t>
            </w:r>
          </w:p>
        </w:tc>
        <w:tc>
          <w:tcPr>
            <w:tcW w:w="232"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0</w:t>
            </w:r>
          </w:p>
        </w:tc>
        <w:tc>
          <w:tcPr>
            <w:tcW w:w="266"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0</w:t>
            </w:r>
          </w:p>
        </w:tc>
        <w:tc>
          <w:tcPr>
            <w:tcW w:w="232"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0</w:t>
            </w:r>
          </w:p>
        </w:tc>
        <w:tc>
          <w:tcPr>
            <w:tcW w:w="236"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0</w:t>
            </w:r>
          </w:p>
        </w:tc>
      </w:tr>
      <w:tr w:rsidR="00C55EB7" w:rsidTr="00F95BC3">
        <w:trPr>
          <w:trHeight w:val="117"/>
        </w:trPr>
        <w:tc>
          <w:tcPr>
            <w:tcW w:w="3142" w:type="dxa"/>
            <w:tcBorders>
              <w:top w:val="single" w:sz="4" w:space="0" w:color="auto"/>
              <w:left w:val="nil"/>
              <w:bottom w:val="single" w:sz="4" w:space="0" w:color="auto"/>
              <w:right w:val="nil"/>
            </w:tcBorders>
          </w:tcPr>
          <w:p w:rsidR="00C55EB7" w:rsidRPr="00297742" w:rsidRDefault="00C55EB7" w:rsidP="00F95BC3">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C55EB7" w:rsidRPr="00AF40D6" w:rsidRDefault="00C55EB7" w:rsidP="00F95BC3">
            <w:pPr>
              <w:pStyle w:val="Textbody"/>
              <w:spacing w:after="0"/>
              <w:rPr>
                <w:sz w:val="8"/>
                <w:szCs w:val="8"/>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2015/16</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2016/17</w:t>
            </w:r>
          </w:p>
          <w:p w:rsidR="00C55EB7" w:rsidRPr="00AF40D6" w:rsidRDefault="00C55EB7" w:rsidP="00F95BC3">
            <w:pPr>
              <w:pStyle w:val="Textbody"/>
              <w:spacing w:after="0"/>
              <w:rPr>
                <w:b/>
              </w:rPr>
            </w:pPr>
            <w:r w:rsidRPr="00AF40D6">
              <w:rPr>
                <w:b/>
              </w:rPr>
              <w:t>(£000)</w:t>
            </w:r>
          </w:p>
        </w:tc>
        <w:tc>
          <w:tcPr>
            <w:tcW w:w="266"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2017/18</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2018/19 (£000)</w:t>
            </w:r>
          </w:p>
        </w:tc>
        <w:tc>
          <w:tcPr>
            <w:tcW w:w="236"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2019/20 (£000)</w:t>
            </w:r>
          </w:p>
        </w:tc>
      </w:tr>
      <w:tr w:rsidR="00C55EB7" w:rsidTr="00F95BC3">
        <w:tc>
          <w:tcPr>
            <w:tcW w:w="3142"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Recurrent staff costs (IS)</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w:t>
            </w:r>
          </w:p>
        </w:tc>
      </w:tr>
      <w:tr w:rsidR="00C55EB7" w:rsidTr="00F95BC3">
        <w:tc>
          <w:tcPr>
            <w:tcW w:w="3142"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 xml:space="preserve">Efficiencies </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r>
      <w:tr w:rsidR="00C55EB7" w:rsidRPr="00AF40D6" w:rsidTr="00F95BC3">
        <w:tc>
          <w:tcPr>
            <w:tcW w:w="3142" w:type="dxa"/>
            <w:tcBorders>
              <w:top w:val="single" w:sz="4" w:space="0" w:color="A6A6A6" w:themeColor="background1" w:themeShade="A6"/>
              <w:left w:val="nil"/>
              <w:right w:val="nil"/>
            </w:tcBorders>
          </w:tcPr>
          <w:p w:rsidR="00C55EB7" w:rsidRPr="00D3752D" w:rsidRDefault="00C55EB7" w:rsidP="00F95BC3">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C55EB7" w:rsidRPr="00AF40D6" w:rsidRDefault="00C55EB7" w:rsidP="00F95BC3">
            <w:pPr>
              <w:pStyle w:val="Textbody"/>
              <w:rPr>
                <w:sz w:val="8"/>
                <w:szCs w:val="8"/>
              </w:rPr>
            </w:pPr>
          </w:p>
        </w:tc>
        <w:tc>
          <w:tcPr>
            <w:tcW w:w="980" w:type="dxa"/>
            <w:tcBorders>
              <w:top w:val="single" w:sz="4" w:space="0" w:color="A6A6A6" w:themeColor="background1" w:themeShade="A6"/>
              <w:left w:val="nil"/>
              <w:right w:val="nil"/>
            </w:tcBorders>
          </w:tcPr>
          <w:p w:rsidR="00C55EB7" w:rsidRPr="00B43BBF" w:rsidRDefault="00C55EB7" w:rsidP="00F95BC3">
            <w:pPr>
              <w:pStyle w:val="Textbody"/>
            </w:pPr>
            <w:r>
              <w:t>0</w:t>
            </w:r>
          </w:p>
        </w:tc>
        <w:tc>
          <w:tcPr>
            <w:tcW w:w="232" w:type="dxa"/>
            <w:tcBorders>
              <w:top w:val="nil"/>
              <w:left w:val="nil"/>
              <w:bottom w:val="nil"/>
              <w:right w:val="nil"/>
            </w:tcBorders>
          </w:tcPr>
          <w:p w:rsidR="00C55EB7" w:rsidRPr="00B43BBF" w:rsidRDefault="00C55EB7" w:rsidP="00F95BC3">
            <w:pPr>
              <w:pStyle w:val="Textbody"/>
            </w:pPr>
          </w:p>
        </w:tc>
        <w:tc>
          <w:tcPr>
            <w:tcW w:w="980" w:type="dxa"/>
            <w:tcBorders>
              <w:top w:val="single" w:sz="4" w:space="0" w:color="A6A6A6" w:themeColor="background1" w:themeShade="A6"/>
              <w:left w:val="nil"/>
              <w:right w:val="nil"/>
            </w:tcBorders>
          </w:tcPr>
          <w:p w:rsidR="00C55EB7" w:rsidRPr="00B43BBF" w:rsidRDefault="00C55EB7" w:rsidP="00F95BC3">
            <w:pPr>
              <w:pStyle w:val="Textbody"/>
            </w:pPr>
            <w:r>
              <w:t>28</w:t>
            </w:r>
          </w:p>
        </w:tc>
        <w:tc>
          <w:tcPr>
            <w:tcW w:w="266" w:type="dxa"/>
            <w:tcBorders>
              <w:top w:val="nil"/>
              <w:left w:val="nil"/>
              <w:bottom w:val="nil"/>
              <w:right w:val="nil"/>
            </w:tcBorders>
          </w:tcPr>
          <w:p w:rsidR="00C55EB7" w:rsidRPr="00B43BBF" w:rsidRDefault="00C55EB7" w:rsidP="00F95BC3">
            <w:pPr>
              <w:pStyle w:val="Textbody"/>
            </w:pPr>
          </w:p>
        </w:tc>
        <w:tc>
          <w:tcPr>
            <w:tcW w:w="980" w:type="dxa"/>
            <w:tcBorders>
              <w:top w:val="single" w:sz="4" w:space="0" w:color="A6A6A6" w:themeColor="background1" w:themeShade="A6"/>
              <w:left w:val="nil"/>
              <w:right w:val="nil"/>
            </w:tcBorders>
          </w:tcPr>
          <w:p w:rsidR="00C55EB7" w:rsidRPr="00B43BBF" w:rsidRDefault="00C55EB7" w:rsidP="00F95BC3">
            <w:pPr>
              <w:pStyle w:val="Textbody"/>
            </w:pPr>
            <w:r>
              <w:t>29</w:t>
            </w:r>
          </w:p>
        </w:tc>
        <w:tc>
          <w:tcPr>
            <w:tcW w:w="232" w:type="dxa"/>
            <w:tcBorders>
              <w:top w:val="nil"/>
              <w:left w:val="nil"/>
              <w:bottom w:val="nil"/>
              <w:right w:val="nil"/>
            </w:tcBorders>
          </w:tcPr>
          <w:p w:rsidR="00C55EB7" w:rsidRPr="00B43BBF" w:rsidRDefault="00C55EB7" w:rsidP="00F95BC3">
            <w:pPr>
              <w:pStyle w:val="Textbody"/>
            </w:pPr>
          </w:p>
        </w:tc>
        <w:tc>
          <w:tcPr>
            <w:tcW w:w="980" w:type="dxa"/>
            <w:tcBorders>
              <w:top w:val="single" w:sz="4" w:space="0" w:color="A6A6A6" w:themeColor="background1" w:themeShade="A6"/>
              <w:left w:val="nil"/>
              <w:right w:val="nil"/>
            </w:tcBorders>
          </w:tcPr>
          <w:p w:rsidR="00C55EB7" w:rsidRPr="00B43BBF" w:rsidRDefault="00C55EB7" w:rsidP="00F95BC3">
            <w:pPr>
              <w:pStyle w:val="Textbody"/>
            </w:pPr>
            <w:r>
              <w:t>29</w:t>
            </w:r>
          </w:p>
        </w:tc>
        <w:tc>
          <w:tcPr>
            <w:tcW w:w="236" w:type="dxa"/>
            <w:tcBorders>
              <w:top w:val="nil"/>
              <w:left w:val="nil"/>
              <w:bottom w:val="nil"/>
              <w:right w:val="nil"/>
            </w:tcBorders>
          </w:tcPr>
          <w:p w:rsidR="00C55EB7" w:rsidRPr="00B43BBF" w:rsidRDefault="00C55EB7" w:rsidP="00F95BC3">
            <w:pPr>
              <w:pStyle w:val="Textbody"/>
            </w:pPr>
          </w:p>
        </w:tc>
        <w:tc>
          <w:tcPr>
            <w:tcW w:w="980" w:type="dxa"/>
            <w:tcBorders>
              <w:top w:val="single" w:sz="4" w:space="0" w:color="A6A6A6" w:themeColor="background1" w:themeShade="A6"/>
              <w:left w:val="nil"/>
              <w:right w:val="nil"/>
            </w:tcBorders>
          </w:tcPr>
          <w:p w:rsidR="00C55EB7" w:rsidRPr="00B43BBF" w:rsidRDefault="00C55EB7" w:rsidP="00F95BC3">
            <w:pPr>
              <w:pStyle w:val="Textbody"/>
            </w:pPr>
            <w:r>
              <w:t>29</w:t>
            </w:r>
          </w:p>
        </w:tc>
      </w:tr>
    </w:tbl>
    <w:p w:rsidR="00C55EB7" w:rsidRDefault="00C55EB7" w:rsidP="00C55EB7">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C55EB7" w:rsidTr="00F95BC3">
        <w:tc>
          <w:tcPr>
            <w:tcW w:w="1985" w:type="dxa"/>
            <w:tcBorders>
              <w:top w:val="single" w:sz="4" w:space="0" w:color="auto"/>
              <w:left w:val="single" w:sz="4" w:space="0" w:color="auto"/>
              <w:bottom w:val="single" w:sz="4" w:space="0" w:color="auto"/>
              <w:right w:val="nil"/>
            </w:tcBorders>
          </w:tcPr>
          <w:p w:rsidR="00C55EB7" w:rsidRPr="002047EB" w:rsidRDefault="00C55EB7" w:rsidP="00F95BC3">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C55EB7" w:rsidRPr="002047EB" w:rsidRDefault="00C55EB7" w:rsidP="00F95BC3">
            <w:pPr>
              <w:rPr>
                <w:b/>
              </w:rPr>
            </w:pPr>
            <w:r w:rsidRPr="002047EB">
              <w:rPr>
                <w:b/>
              </w:rPr>
              <w:t>Confidence</w:t>
            </w:r>
          </w:p>
        </w:tc>
      </w:tr>
      <w:tr w:rsidR="00C55EB7" w:rsidTr="00F95BC3">
        <w:tc>
          <w:tcPr>
            <w:tcW w:w="1985" w:type="dxa"/>
            <w:tcBorders>
              <w:top w:val="single" w:sz="4" w:space="0" w:color="auto"/>
              <w:left w:val="single" w:sz="4" w:space="0" w:color="auto"/>
              <w:bottom w:val="single" w:sz="4" w:space="0" w:color="BFBFBF" w:themeColor="background1" w:themeShade="BF"/>
              <w:right w:val="nil"/>
            </w:tcBorders>
          </w:tcPr>
          <w:p w:rsidR="00C55EB7" w:rsidRDefault="00C55EB7" w:rsidP="00F95BC3">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C55EB7" w:rsidRDefault="00C55EB7" w:rsidP="00F95BC3">
            <w:pPr>
              <w:tabs>
                <w:tab w:val="clear" w:pos="720"/>
                <w:tab w:val="right" w:pos="2194"/>
              </w:tabs>
            </w:pPr>
            <w:r>
              <w:t>Medium</w:t>
            </w:r>
          </w:p>
        </w:tc>
      </w:tr>
      <w:tr w:rsidR="00C55EB7" w:rsidTr="00F95BC3">
        <w:tc>
          <w:tcPr>
            <w:tcW w:w="1985" w:type="dxa"/>
            <w:tcBorders>
              <w:top w:val="single" w:sz="4" w:space="0" w:color="BFBFBF" w:themeColor="background1" w:themeShade="BF"/>
              <w:left w:val="single" w:sz="4" w:space="0" w:color="auto"/>
              <w:bottom w:val="single" w:sz="4" w:space="0" w:color="auto"/>
              <w:right w:val="nil"/>
            </w:tcBorders>
          </w:tcPr>
          <w:p w:rsidR="00C55EB7" w:rsidRDefault="00C55EB7" w:rsidP="00F95BC3">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C55EB7" w:rsidRDefault="00C55EB7" w:rsidP="00F95BC3">
            <w:r>
              <w:t>High</w:t>
            </w:r>
          </w:p>
        </w:tc>
      </w:tr>
    </w:tbl>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424C1D">
      <w:pPr>
        <w:pStyle w:val="Textbody"/>
      </w:pPr>
    </w:p>
    <w:p w:rsidR="00C55EB7" w:rsidRDefault="00C55EB7" w:rsidP="00C55EB7">
      <w:pPr>
        <w:pStyle w:val="Heading4"/>
      </w:pPr>
      <w:r>
        <w:lastRenderedPageBreak/>
        <w:t>Project: Infrastructure Monitoring (Grow)</w:t>
      </w:r>
    </w:p>
    <w:p w:rsidR="00C55EB7" w:rsidRDefault="00C55EB7" w:rsidP="00C55EB7">
      <w:pPr>
        <w:pStyle w:val="Textbody"/>
        <w:spacing w:after="0"/>
      </w:pPr>
      <w:r>
        <w:rPr>
          <w:b/>
          <w:sz w:val="20"/>
          <w:szCs w:val="20"/>
        </w:rPr>
        <w:t xml:space="preserve">Infrastructure Category:  </w:t>
      </w:r>
      <w:r w:rsidRPr="002B6C46">
        <w:rPr>
          <w:b/>
          <w:sz w:val="20"/>
          <w:szCs w:val="20"/>
        </w:rPr>
        <w:t>Hardware</w:t>
      </w:r>
    </w:p>
    <w:p w:rsidR="00C55EB7" w:rsidRDefault="00C55EB7" w:rsidP="00C55EB7">
      <w:r w:rsidRPr="009334D3">
        <w:t xml:space="preserve">The number and complexity of service and infrastructure components is increasing, and the ability to manually collate this information is problematic, especially during service </w:t>
      </w:r>
      <w:r w:rsidRPr="00941D2E">
        <w:t>events.</w:t>
      </w:r>
      <w:r w:rsidRPr="009334D3">
        <w:rPr>
          <w:color w:val="FF0000"/>
        </w:rPr>
        <w:t xml:space="preserve">  </w:t>
      </w:r>
      <w:r>
        <w:t xml:space="preserve">This project will improve infrastructure and service monitoring and will provide support for “self-healing” services.  Infrastructure and service monitoring currently use a large number of disparate tools to gather information, which means analysis of failures is </w:t>
      </w:r>
      <w:r w:rsidRPr="009334D3">
        <w:t>difficult.</w:t>
      </w:r>
      <w:r w:rsidRPr="009334D3">
        <w:rPr>
          <w:color w:val="FF0000"/>
        </w:rPr>
        <w:t xml:space="preserve">  </w:t>
      </w:r>
      <w:r w:rsidRPr="00941D2E">
        <w:t>An IS project is currently underway to investigate if an aggregation layer can capture existing information to provide a single monitoring dashboard.  If this is not possible, this project would deliver an integrated environment.</w:t>
      </w:r>
      <w:r>
        <w:t xml:space="preserve">  Requirement will be for specialist software and appropriate infrastructure.</w:t>
      </w:r>
    </w:p>
    <w:tbl>
      <w:tblPr>
        <w:tblW w:w="0" w:type="auto"/>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C55EB7" w:rsidTr="00F95BC3">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5EB7" w:rsidRPr="002047EB" w:rsidRDefault="00C55EB7" w:rsidP="00F95BC3">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Default="00C55EB7" w:rsidP="00F95BC3">
            <w:pPr>
              <w:pStyle w:val="TableContents"/>
              <w:spacing w:after="120"/>
            </w:pPr>
          </w:p>
        </w:tc>
      </w:tr>
      <w:tr w:rsidR="00C55EB7"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C55EB7" w:rsidRPr="002047EB" w:rsidRDefault="00C55EB7" w:rsidP="00F95BC3">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Default="00C55EB7" w:rsidP="00F95BC3">
            <w:pPr>
              <w:pStyle w:val="TableContents"/>
              <w:spacing w:after="120"/>
            </w:pPr>
            <w:r w:rsidRPr="0003161F">
              <w:rPr>
                <w:bCs/>
                <w:i/>
              </w:rPr>
              <w:t>Infrastructure</w:t>
            </w:r>
            <w:r>
              <w:rPr>
                <w:bCs/>
              </w:rPr>
              <w:t xml:space="preserve">: </w:t>
            </w:r>
            <w:r w:rsidRPr="00576E67">
              <w:rPr>
                <w:bCs/>
              </w:rPr>
              <w:t>Infrastructure Power and Resilience</w:t>
            </w:r>
          </w:p>
        </w:tc>
      </w:tr>
      <w:tr w:rsidR="00C55EB7"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C55EB7" w:rsidRPr="002047EB" w:rsidRDefault="00C55EB7" w:rsidP="00F95BC3">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Default="00C55EB7" w:rsidP="00F95BC3">
            <w:pPr>
              <w:pStyle w:val="TableContents"/>
              <w:spacing w:after="120"/>
            </w:pPr>
          </w:p>
        </w:tc>
      </w:tr>
    </w:tbl>
    <w:p w:rsidR="00C55EB7" w:rsidRDefault="00C55EB7" w:rsidP="00C55EB7">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C55EB7" w:rsidTr="00F95BC3">
        <w:tc>
          <w:tcPr>
            <w:tcW w:w="3142" w:type="dxa"/>
            <w:tcBorders>
              <w:left w:val="nil"/>
              <w:right w:val="nil"/>
            </w:tcBorders>
          </w:tcPr>
          <w:p w:rsidR="00C55EB7" w:rsidRDefault="00C55EB7" w:rsidP="00F95BC3">
            <w:pPr>
              <w:pStyle w:val="Textbody"/>
              <w:spacing w:after="0"/>
              <w:rPr>
                <w:b/>
              </w:rPr>
            </w:pPr>
            <w:r>
              <w:rPr>
                <w:b/>
              </w:rPr>
              <w:t>Infrastructure Monitoring</w:t>
            </w:r>
          </w:p>
          <w:p w:rsidR="00C55EB7" w:rsidRPr="00AF40D6" w:rsidRDefault="00C55EB7" w:rsidP="00F95BC3">
            <w:pPr>
              <w:pStyle w:val="Textbody"/>
              <w:spacing w:after="0"/>
              <w:rPr>
                <w:b/>
              </w:rPr>
            </w:pPr>
            <w:r>
              <w:rPr>
                <w:b/>
              </w:rPr>
              <w:t>Project Expenditure</w:t>
            </w:r>
          </w:p>
        </w:tc>
        <w:tc>
          <w:tcPr>
            <w:tcW w:w="234"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2015/16</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2016/17</w:t>
            </w:r>
          </w:p>
          <w:p w:rsidR="00C55EB7" w:rsidRPr="00AF40D6" w:rsidRDefault="00C55EB7" w:rsidP="00F95BC3">
            <w:pPr>
              <w:pStyle w:val="Textbody"/>
              <w:spacing w:after="0"/>
              <w:rPr>
                <w:b/>
              </w:rPr>
            </w:pPr>
            <w:r w:rsidRPr="00AF40D6">
              <w:rPr>
                <w:b/>
              </w:rPr>
              <w:t>(£000)</w:t>
            </w:r>
          </w:p>
        </w:tc>
        <w:tc>
          <w:tcPr>
            <w:tcW w:w="266"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2017/18</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2018/19 (£000)</w:t>
            </w:r>
          </w:p>
        </w:tc>
        <w:tc>
          <w:tcPr>
            <w:tcW w:w="236" w:type="dxa"/>
            <w:tcBorders>
              <w:top w:val="nil"/>
              <w:left w:val="nil"/>
              <w:bottom w:val="nil"/>
              <w:right w:val="nil"/>
            </w:tcBorders>
          </w:tcPr>
          <w:p w:rsidR="00C55EB7" w:rsidRPr="00AF40D6" w:rsidRDefault="00C55EB7" w:rsidP="00F95BC3">
            <w:pPr>
              <w:pStyle w:val="Textbody"/>
              <w:spacing w:after="0"/>
              <w:rPr>
                <w:b/>
              </w:rPr>
            </w:pPr>
          </w:p>
        </w:tc>
        <w:tc>
          <w:tcPr>
            <w:tcW w:w="980" w:type="dxa"/>
            <w:tcBorders>
              <w:left w:val="nil"/>
              <w:right w:val="nil"/>
            </w:tcBorders>
          </w:tcPr>
          <w:p w:rsidR="00C55EB7" w:rsidRPr="00AF40D6" w:rsidRDefault="00C55EB7" w:rsidP="00F95BC3">
            <w:pPr>
              <w:pStyle w:val="Textbody"/>
              <w:spacing w:after="0"/>
              <w:rPr>
                <w:b/>
              </w:rPr>
            </w:pPr>
            <w:r w:rsidRPr="00AF40D6">
              <w:rPr>
                <w:b/>
              </w:rPr>
              <w:t>2019/20 (£000)</w:t>
            </w:r>
          </w:p>
        </w:tc>
      </w:tr>
      <w:tr w:rsidR="00C55EB7" w:rsidTr="00F95BC3">
        <w:tc>
          <w:tcPr>
            <w:tcW w:w="3142" w:type="dxa"/>
            <w:tcBorders>
              <w:left w:val="nil"/>
              <w:bottom w:val="single" w:sz="4" w:space="0" w:color="BFBFBF" w:themeColor="background1" w:themeShade="BF"/>
              <w:right w:val="nil"/>
            </w:tcBorders>
          </w:tcPr>
          <w:p w:rsidR="00C55EB7" w:rsidRPr="00AF40D6" w:rsidRDefault="00C55EB7" w:rsidP="00F95BC3">
            <w:pPr>
              <w:pStyle w:val="Textbody"/>
            </w:pPr>
            <w:r w:rsidRPr="00AF40D6">
              <w:t>Capital</w:t>
            </w:r>
            <w:r>
              <w:t xml:space="preserve"> project expenditure</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left w:val="nil"/>
              <w:bottom w:val="single" w:sz="4" w:space="0" w:color="BFBFBF" w:themeColor="background1" w:themeShade="BF"/>
              <w:right w:val="nil"/>
            </w:tcBorders>
          </w:tcPr>
          <w:p w:rsidR="00C55EB7" w:rsidRPr="00AF40D6" w:rsidRDefault="00C55EB7" w:rsidP="00F95BC3">
            <w:pPr>
              <w:pStyle w:val="Textbody"/>
            </w:pPr>
            <w:r>
              <w:t>0</w:t>
            </w:r>
          </w:p>
        </w:tc>
      </w:tr>
      <w:tr w:rsidR="00C55EB7" w:rsidTr="00F95BC3">
        <w:tc>
          <w:tcPr>
            <w:tcW w:w="3142"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Revenue project expenditure</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160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160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AF40D6" w:rsidRDefault="00C55EB7" w:rsidP="00F95BC3">
            <w:pPr>
              <w:pStyle w:val="Textbody"/>
            </w:pPr>
            <w:r>
              <w:t>0</w:t>
            </w:r>
          </w:p>
        </w:tc>
      </w:tr>
      <w:tr w:rsidR="00C55EB7" w:rsidTr="00F95BC3">
        <w:tc>
          <w:tcPr>
            <w:tcW w:w="3142"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0</w:t>
            </w:r>
          </w:p>
        </w:tc>
        <w:tc>
          <w:tcPr>
            <w:tcW w:w="232"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160</w:t>
            </w:r>
          </w:p>
        </w:tc>
        <w:tc>
          <w:tcPr>
            <w:tcW w:w="266"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160</w:t>
            </w:r>
          </w:p>
        </w:tc>
        <w:tc>
          <w:tcPr>
            <w:tcW w:w="232"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0</w:t>
            </w:r>
          </w:p>
        </w:tc>
        <w:tc>
          <w:tcPr>
            <w:tcW w:w="236" w:type="dxa"/>
            <w:tcBorders>
              <w:top w:val="nil"/>
              <w:left w:val="nil"/>
              <w:bottom w:val="nil"/>
              <w:right w:val="nil"/>
            </w:tcBorders>
          </w:tcPr>
          <w:p w:rsidR="00C55EB7" w:rsidRPr="00AF40D6" w:rsidRDefault="00C55EB7"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C55EB7" w:rsidRPr="00AF40D6" w:rsidRDefault="00C55EB7" w:rsidP="00F95BC3">
            <w:pPr>
              <w:pStyle w:val="Textbody"/>
              <w:rPr>
                <w:b/>
              </w:rPr>
            </w:pPr>
            <w:r>
              <w:rPr>
                <w:b/>
              </w:rPr>
              <w:t>0</w:t>
            </w:r>
          </w:p>
        </w:tc>
      </w:tr>
      <w:tr w:rsidR="00C55EB7" w:rsidTr="00F95BC3">
        <w:trPr>
          <w:trHeight w:val="117"/>
        </w:trPr>
        <w:tc>
          <w:tcPr>
            <w:tcW w:w="3142" w:type="dxa"/>
            <w:tcBorders>
              <w:top w:val="single" w:sz="4" w:space="0" w:color="auto"/>
              <w:left w:val="nil"/>
              <w:bottom w:val="single" w:sz="4" w:space="0" w:color="auto"/>
              <w:right w:val="nil"/>
            </w:tcBorders>
          </w:tcPr>
          <w:p w:rsidR="00C55EB7" w:rsidRPr="00297742" w:rsidRDefault="00C55EB7" w:rsidP="00F95BC3">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C55EB7" w:rsidRPr="00AF40D6" w:rsidRDefault="00C55EB7" w:rsidP="00F95BC3">
            <w:pPr>
              <w:pStyle w:val="Textbody"/>
              <w:spacing w:after="0"/>
              <w:rPr>
                <w:sz w:val="8"/>
                <w:szCs w:val="8"/>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2015/16</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2016/17</w:t>
            </w:r>
          </w:p>
          <w:p w:rsidR="00C55EB7" w:rsidRPr="00AF40D6" w:rsidRDefault="00C55EB7" w:rsidP="00F95BC3">
            <w:pPr>
              <w:pStyle w:val="Textbody"/>
              <w:spacing w:after="0"/>
              <w:rPr>
                <w:b/>
              </w:rPr>
            </w:pPr>
            <w:r w:rsidRPr="00AF40D6">
              <w:rPr>
                <w:b/>
              </w:rPr>
              <w:t>(£000)</w:t>
            </w:r>
          </w:p>
        </w:tc>
        <w:tc>
          <w:tcPr>
            <w:tcW w:w="266"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2017/18</w:t>
            </w:r>
          </w:p>
          <w:p w:rsidR="00C55EB7" w:rsidRPr="00AF40D6" w:rsidRDefault="00C55EB7" w:rsidP="00F95BC3">
            <w:pPr>
              <w:pStyle w:val="Textbody"/>
              <w:spacing w:after="0"/>
              <w:rPr>
                <w:b/>
              </w:rPr>
            </w:pPr>
            <w:r w:rsidRPr="00AF40D6">
              <w:rPr>
                <w:b/>
              </w:rPr>
              <w:t>(£000)</w:t>
            </w:r>
          </w:p>
        </w:tc>
        <w:tc>
          <w:tcPr>
            <w:tcW w:w="232"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2018/19 (£000)</w:t>
            </w:r>
          </w:p>
        </w:tc>
        <w:tc>
          <w:tcPr>
            <w:tcW w:w="236" w:type="dxa"/>
            <w:tcBorders>
              <w:top w:val="nil"/>
              <w:left w:val="nil"/>
              <w:bottom w:val="nil"/>
              <w:right w:val="nil"/>
            </w:tcBorders>
          </w:tcPr>
          <w:p w:rsidR="00C55EB7" w:rsidRPr="00AF40D6" w:rsidRDefault="00C55EB7" w:rsidP="00F95BC3">
            <w:pPr>
              <w:pStyle w:val="Textbody"/>
              <w:spacing w:after="0"/>
              <w:rPr>
                <w:b/>
              </w:rPr>
            </w:pPr>
          </w:p>
        </w:tc>
        <w:tc>
          <w:tcPr>
            <w:tcW w:w="980" w:type="dxa"/>
            <w:tcBorders>
              <w:top w:val="single" w:sz="4" w:space="0" w:color="auto"/>
              <w:left w:val="nil"/>
              <w:bottom w:val="single" w:sz="4" w:space="0" w:color="auto"/>
              <w:right w:val="nil"/>
            </w:tcBorders>
          </w:tcPr>
          <w:p w:rsidR="00C55EB7" w:rsidRPr="00AF40D6" w:rsidRDefault="00C55EB7" w:rsidP="00F95BC3">
            <w:pPr>
              <w:pStyle w:val="Textbody"/>
              <w:spacing w:after="0"/>
              <w:rPr>
                <w:b/>
              </w:rPr>
            </w:pPr>
            <w:r w:rsidRPr="00AF40D6">
              <w:rPr>
                <w:b/>
              </w:rPr>
              <w:t>2019/20 (£000)</w:t>
            </w:r>
          </w:p>
        </w:tc>
      </w:tr>
      <w:tr w:rsidR="00C55EB7" w:rsidTr="00F95BC3">
        <w:tc>
          <w:tcPr>
            <w:tcW w:w="3142"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Recurrent staff costs (IS)</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auto"/>
              <w:left w:val="nil"/>
              <w:bottom w:val="single" w:sz="4" w:space="0" w:color="BFBFBF" w:themeColor="background1" w:themeShade="BF"/>
              <w:right w:val="nil"/>
            </w:tcBorders>
          </w:tcPr>
          <w:p w:rsidR="00C55EB7" w:rsidRPr="00AF40D6" w:rsidRDefault="00C55EB7" w:rsidP="00F95BC3">
            <w:pPr>
              <w:pStyle w:val="Textbody"/>
            </w:pPr>
            <w:r>
              <w:t>100</w:t>
            </w:r>
          </w:p>
        </w:tc>
      </w:tr>
      <w:tr w:rsidR="00C55EB7" w:rsidTr="00F95BC3">
        <w:tc>
          <w:tcPr>
            <w:tcW w:w="3142" w:type="dxa"/>
            <w:tcBorders>
              <w:top w:val="single" w:sz="4" w:space="0" w:color="BFBFBF" w:themeColor="background1" w:themeShade="BF"/>
              <w:left w:val="nil"/>
              <w:bottom w:val="single" w:sz="4" w:space="0" w:color="A6A6A6" w:themeColor="background1" w:themeShade="A6"/>
              <w:right w:val="nil"/>
            </w:tcBorders>
          </w:tcPr>
          <w:p w:rsidR="00C55EB7" w:rsidRDefault="00C55EB7" w:rsidP="00F95BC3">
            <w:pPr>
              <w:pStyle w:val="Textbody"/>
            </w:pPr>
            <w:r>
              <w:t>Maintenance costs (IS)</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40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40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40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40</w:t>
            </w:r>
          </w:p>
        </w:tc>
      </w:tr>
      <w:tr w:rsidR="00C55EB7" w:rsidTr="00F95BC3">
        <w:tc>
          <w:tcPr>
            <w:tcW w:w="3142"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 xml:space="preserve">Efficiencies </w:t>
            </w:r>
          </w:p>
        </w:tc>
        <w:tc>
          <w:tcPr>
            <w:tcW w:w="234"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6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32"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c>
          <w:tcPr>
            <w:tcW w:w="236" w:type="dxa"/>
            <w:tcBorders>
              <w:top w:val="nil"/>
              <w:left w:val="nil"/>
              <w:bottom w:val="nil"/>
              <w:right w:val="nil"/>
            </w:tcBorders>
          </w:tcPr>
          <w:p w:rsidR="00C55EB7" w:rsidRPr="00AF40D6" w:rsidRDefault="00C55EB7"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AF40D6" w:rsidRDefault="00C55EB7" w:rsidP="00F95BC3">
            <w:pPr>
              <w:pStyle w:val="Textbody"/>
            </w:pPr>
            <w:r>
              <w:t>0</w:t>
            </w:r>
          </w:p>
        </w:tc>
      </w:tr>
      <w:tr w:rsidR="00C55EB7" w:rsidRPr="00AF40D6" w:rsidTr="00F95BC3">
        <w:tc>
          <w:tcPr>
            <w:tcW w:w="3142" w:type="dxa"/>
            <w:tcBorders>
              <w:top w:val="single" w:sz="4" w:space="0" w:color="A6A6A6" w:themeColor="background1" w:themeShade="A6"/>
              <w:left w:val="nil"/>
              <w:right w:val="nil"/>
            </w:tcBorders>
          </w:tcPr>
          <w:p w:rsidR="00C55EB7" w:rsidRPr="00AF40D6" w:rsidRDefault="00C55EB7" w:rsidP="00F95BC3">
            <w:pPr>
              <w:pStyle w:val="Textbody"/>
              <w:rPr>
                <w:sz w:val="8"/>
                <w:szCs w:val="8"/>
              </w:rPr>
            </w:pPr>
            <w:r w:rsidRPr="00AF40D6">
              <w:t>Depreciation Charge</w:t>
            </w:r>
          </w:p>
        </w:tc>
        <w:tc>
          <w:tcPr>
            <w:tcW w:w="234" w:type="dxa"/>
            <w:tcBorders>
              <w:top w:val="nil"/>
              <w:left w:val="nil"/>
              <w:bottom w:val="nil"/>
              <w:right w:val="nil"/>
            </w:tcBorders>
          </w:tcPr>
          <w:p w:rsidR="00C55EB7" w:rsidRPr="00AF40D6" w:rsidRDefault="00C55EB7" w:rsidP="00F95BC3">
            <w:pPr>
              <w:pStyle w:val="Textbody"/>
              <w:rPr>
                <w:sz w:val="8"/>
                <w:szCs w:val="8"/>
              </w:rPr>
            </w:pPr>
          </w:p>
        </w:tc>
        <w:tc>
          <w:tcPr>
            <w:tcW w:w="980" w:type="dxa"/>
            <w:tcBorders>
              <w:top w:val="single" w:sz="4" w:space="0" w:color="A6A6A6" w:themeColor="background1" w:themeShade="A6"/>
              <w:left w:val="nil"/>
              <w:right w:val="nil"/>
            </w:tcBorders>
          </w:tcPr>
          <w:p w:rsidR="00C55EB7" w:rsidRPr="00936738" w:rsidRDefault="00C55EB7" w:rsidP="00F95BC3">
            <w:pPr>
              <w:pStyle w:val="Textbody"/>
            </w:pPr>
            <w:r>
              <w:t>0</w:t>
            </w:r>
          </w:p>
        </w:tc>
        <w:tc>
          <w:tcPr>
            <w:tcW w:w="232" w:type="dxa"/>
            <w:tcBorders>
              <w:top w:val="nil"/>
              <w:left w:val="nil"/>
              <w:bottom w:val="nil"/>
              <w:right w:val="nil"/>
            </w:tcBorders>
          </w:tcPr>
          <w:p w:rsidR="00C55EB7" w:rsidRPr="00936738" w:rsidRDefault="00C55EB7" w:rsidP="00F95BC3">
            <w:pPr>
              <w:pStyle w:val="Textbody"/>
            </w:pPr>
          </w:p>
        </w:tc>
        <w:tc>
          <w:tcPr>
            <w:tcW w:w="980" w:type="dxa"/>
            <w:tcBorders>
              <w:top w:val="single" w:sz="4" w:space="0" w:color="A6A6A6" w:themeColor="background1" w:themeShade="A6"/>
              <w:left w:val="nil"/>
              <w:right w:val="nil"/>
            </w:tcBorders>
          </w:tcPr>
          <w:p w:rsidR="00C55EB7" w:rsidRPr="00936738" w:rsidRDefault="00C55EB7" w:rsidP="00F95BC3">
            <w:pPr>
              <w:pStyle w:val="Textbody"/>
            </w:pPr>
            <w:r>
              <w:t>0</w:t>
            </w:r>
          </w:p>
        </w:tc>
        <w:tc>
          <w:tcPr>
            <w:tcW w:w="266" w:type="dxa"/>
            <w:tcBorders>
              <w:top w:val="nil"/>
              <w:left w:val="nil"/>
              <w:bottom w:val="nil"/>
              <w:right w:val="nil"/>
            </w:tcBorders>
          </w:tcPr>
          <w:p w:rsidR="00C55EB7" w:rsidRPr="00936738" w:rsidRDefault="00C55EB7" w:rsidP="00F95BC3">
            <w:pPr>
              <w:pStyle w:val="Textbody"/>
            </w:pPr>
          </w:p>
        </w:tc>
        <w:tc>
          <w:tcPr>
            <w:tcW w:w="980" w:type="dxa"/>
            <w:tcBorders>
              <w:top w:val="single" w:sz="4" w:space="0" w:color="A6A6A6" w:themeColor="background1" w:themeShade="A6"/>
              <w:left w:val="nil"/>
              <w:right w:val="nil"/>
            </w:tcBorders>
          </w:tcPr>
          <w:p w:rsidR="00C55EB7" w:rsidRPr="00936738" w:rsidRDefault="00C55EB7" w:rsidP="00F95BC3">
            <w:pPr>
              <w:pStyle w:val="Textbody"/>
            </w:pPr>
            <w:r>
              <w:t>0</w:t>
            </w:r>
          </w:p>
        </w:tc>
        <w:tc>
          <w:tcPr>
            <w:tcW w:w="232" w:type="dxa"/>
            <w:tcBorders>
              <w:top w:val="nil"/>
              <w:left w:val="nil"/>
              <w:bottom w:val="nil"/>
              <w:right w:val="nil"/>
            </w:tcBorders>
          </w:tcPr>
          <w:p w:rsidR="00C55EB7" w:rsidRPr="00936738" w:rsidRDefault="00C55EB7" w:rsidP="00F95BC3">
            <w:pPr>
              <w:pStyle w:val="Textbody"/>
            </w:pPr>
          </w:p>
        </w:tc>
        <w:tc>
          <w:tcPr>
            <w:tcW w:w="980" w:type="dxa"/>
            <w:tcBorders>
              <w:top w:val="single" w:sz="4" w:space="0" w:color="A6A6A6" w:themeColor="background1" w:themeShade="A6"/>
              <w:left w:val="nil"/>
              <w:right w:val="nil"/>
            </w:tcBorders>
          </w:tcPr>
          <w:p w:rsidR="00C55EB7" w:rsidRPr="00936738" w:rsidRDefault="00C55EB7" w:rsidP="00F95BC3">
            <w:pPr>
              <w:pStyle w:val="Textbody"/>
            </w:pPr>
            <w:r>
              <w:t>0</w:t>
            </w:r>
          </w:p>
        </w:tc>
        <w:tc>
          <w:tcPr>
            <w:tcW w:w="236" w:type="dxa"/>
            <w:tcBorders>
              <w:top w:val="nil"/>
              <w:left w:val="nil"/>
              <w:bottom w:val="nil"/>
              <w:right w:val="nil"/>
            </w:tcBorders>
          </w:tcPr>
          <w:p w:rsidR="00C55EB7" w:rsidRPr="00936738" w:rsidRDefault="00C55EB7" w:rsidP="00F95BC3">
            <w:pPr>
              <w:pStyle w:val="Textbody"/>
            </w:pPr>
          </w:p>
        </w:tc>
        <w:tc>
          <w:tcPr>
            <w:tcW w:w="980" w:type="dxa"/>
            <w:tcBorders>
              <w:top w:val="single" w:sz="4" w:space="0" w:color="A6A6A6" w:themeColor="background1" w:themeShade="A6"/>
              <w:left w:val="nil"/>
              <w:right w:val="nil"/>
            </w:tcBorders>
          </w:tcPr>
          <w:p w:rsidR="00C55EB7" w:rsidRPr="00936738" w:rsidRDefault="00C55EB7" w:rsidP="00F95BC3">
            <w:pPr>
              <w:pStyle w:val="Textbody"/>
            </w:pPr>
            <w:r>
              <w:t>0</w:t>
            </w:r>
          </w:p>
        </w:tc>
      </w:tr>
    </w:tbl>
    <w:p w:rsidR="00C55EB7" w:rsidRDefault="00C55EB7" w:rsidP="00C55EB7">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C55EB7" w:rsidTr="00F95BC3">
        <w:tc>
          <w:tcPr>
            <w:tcW w:w="1985" w:type="dxa"/>
            <w:tcBorders>
              <w:top w:val="single" w:sz="4" w:space="0" w:color="auto"/>
              <w:left w:val="single" w:sz="4" w:space="0" w:color="auto"/>
              <w:bottom w:val="single" w:sz="4" w:space="0" w:color="auto"/>
              <w:right w:val="nil"/>
            </w:tcBorders>
          </w:tcPr>
          <w:p w:rsidR="00C55EB7" w:rsidRPr="002047EB" w:rsidRDefault="00C55EB7" w:rsidP="00F95BC3">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C55EB7" w:rsidRPr="002047EB" w:rsidRDefault="00C55EB7" w:rsidP="00F95BC3">
            <w:pPr>
              <w:rPr>
                <w:b/>
              </w:rPr>
            </w:pPr>
            <w:r w:rsidRPr="002047EB">
              <w:rPr>
                <w:b/>
              </w:rPr>
              <w:t>Confidence</w:t>
            </w:r>
          </w:p>
        </w:tc>
      </w:tr>
      <w:tr w:rsidR="00C55EB7" w:rsidTr="00F95BC3">
        <w:tc>
          <w:tcPr>
            <w:tcW w:w="1985" w:type="dxa"/>
            <w:tcBorders>
              <w:top w:val="single" w:sz="4" w:space="0" w:color="auto"/>
              <w:left w:val="single" w:sz="4" w:space="0" w:color="auto"/>
              <w:bottom w:val="single" w:sz="4" w:space="0" w:color="BFBFBF" w:themeColor="background1" w:themeShade="BF"/>
              <w:right w:val="nil"/>
            </w:tcBorders>
          </w:tcPr>
          <w:p w:rsidR="00C55EB7" w:rsidRDefault="00C55EB7" w:rsidP="00F95BC3">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C55EB7" w:rsidRDefault="00C55EB7" w:rsidP="00F95BC3">
            <w:pPr>
              <w:tabs>
                <w:tab w:val="clear" w:pos="720"/>
                <w:tab w:val="right" w:pos="2194"/>
              </w:tabs>
            </w:pPr>
            <w:r>
              <w:t>Medium</w:t>
            </w:r>
          </w:p>
        </w:tc>
      </w:tr>
      <w:tr w:rsidR="00C55EB7" w:rsidTr="00F95BC3">
        <w:tc>
          <w:tcPr>
            <w:tcW w:w="1985" w:type="dxa"/>
            <w:tcBorders>
              <w:top w:val="single" w:sz="4" w:space="0" w:color="BFBFBF" w:themeColor="background1" w:themeShade="BF"/>
              <w:left w:val="single" w:sz="4" w:space="0" w:color="auto"/>
              <w:bottom w:val="single" w:sz="4" w:space="0" w:color="auto"/>
              <w:right w:val="nil"/>
            </w:tcBorders>
          </w:tcPr>
          <w:p w:rsidR="00C55EB7" w:rsidRDefault="00C55EB7" w:rsidP="00F95BC3">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C55EB7" w:rsidRDefault="00C55EB7" w:rsidP="00F95BC3">
            <w:r>
              <w:t>Medium</w:t>
            </w:r>
          </w:p>
        </w:tc>
      </w:tr>
    </w:tbl>
    <w:p w:rsidR="00C55EB7" w:rsidRPr="00432974" w:rsidRDefault="00C55EB7" w:rsidP="00C55EB7">
      <w:pPr>
        <w:tabs>
          <w:tab w:val="clear" w:pos="720"/>
        </w:tabs>
        <w:suppressAutoHyphens w:val="0"/>
      </w:pPr>
      <w:r>
        <w:rPr>
          <w:color w:val="auto"/>
        </w:rPr>
        <w:br w:type="page"/>
      </w:r>
    </w:p>
    <w:p w:rsidR="00424C1D" w:rsidRDefault="00424C1D" w:rsidP="00424C1D">
      <w:pPr>
        <w:pStyle w:val="Heading4"/>
      </w:pPr>
      <w:r>
        <w:lastRenderedPageBreak/>
        <w:t>Project: Extend core network (Grow)</w:t>
      </w:r>
    </w:p>
    <w:p w:rsidR="00424C1D" w:rsidRPr="002047EB" w:rsidRDefault="00424C1D" w:rsidP="00424C1D">
      <w:pPr>
        <w:pStyle w:val="Textbody"/>
        <w:spacing w:after="0"/>
      </w:pPr>
      <w:r>
        <w:rPr>
          <w:b/>
          <w:sz w:val="20"/>
          <w:szCs w:val="20"/>
        </w:rPr>
        <w:t>Infrastructure Category: Network</w:t>
      </w:r>
    </w:p>
    <w:p w:rsidR="00424C1D" w:rsidRPr="00D93475" w:rsidRDefault="00424C1D" w:rsidP="00424C1D">
      <w:pPr>
        <w:rPr>
          <w:color w:val="auto"/>
        </w:rPr>
      </w:pPr>
      <w:r>
        <w:t xml:space="preserve">This project will provide full network resilience to major campuses.  Little France/Bio-Quarter and Western General </w:t>
      </w:r>
      <w:proofErr w:type="gramStart"/>
      <w:r>
        <w:t>campuses</w:t>
      </w:r>
      <w:proofErr w:type="gramEnd"/>
      <w:r>
        <w:t xml:space="preserve"> do not have full network protection, as the fibres which connect these sites to the core network run via single ducts.    As the importance of these sites has risen and all aspects of the business have become more digitally dependent, the cost of disruption caused by campus disconnection is no longer an acceptable</w:t>
      </w:r>
      <w:r w:rsidRPr="00D93475">
        <w:rPr>
          <w:color w:val="auto"/>
        </w:rPr>
        <w:t>.  Provision of campus network redundancy also removes a barrier to adoption of central services and so promotes de-duplication which delivers institutional efficiency.</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r w:rsidRPr="00576E67">
              <w:rPr>
                <w:i/>
                <w:iCs/>
              </w:rPr>
              <w:t>Excellence In Research</w:t>
            </w:r>
            <w:r>
              <w:rPr>
                <w:iCs/>
              </w:rPr>
              <w:t>:</w:t>
            </w:r>
            <w:r w:rsidRPr="00576E67">
              <w:rPr>
                <w:i/>
                <w:iCs/>
              </w:rPr>
              <w:t xml:space="preserve"> </w:t>
            </w:r>
            <w:r>
              <w:rPr>
                <w:bCs/>
              </w:rPr>
              <w:t>Efficiency in Research S</w:t>
            </w:r>
            <w:r w:rsidRPr="00576E67">
              <w:rPr>
                <w:bCs/>
              </w:rPr>
              <w:t>upport</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576E67">
              <w:rPr>
                <w:bCs/>
                <w:i/>
              </w:rPr>
              <w:t>Infrastructure</w:t>
            </w:r>
            <w:r w:rsidRPr="00576E67">
              <w:rPr>
                <w:bCs/>
              </w:rPr>
              <w:t>: Infrastructure Power and Resilience</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Extend Core Network</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650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750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650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750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Default="00424C1D" w:rsidP="00424C1D">
            <w:pPr>
              <w:pStyle w:val="Textbody"/>
            </w:pPr>
            <w:r>
              <w:t>Costs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955A13" w:rsidRDefault="00424C1D" w:rsidP="00424C1D">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0</w:t>
            </w:r>
          </w:p>
        </w:tc>
        <w:tc>
          <w:tcPr>
            <w:tcW w:w="232"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162</w:t>
            </w:r>
          </w:p>
        </w:tc>
        <w:tc>
          <w:tcPr>
            <w:tcW w:w="266"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350</w:t>
            </w:r>
          </w:p>
        </w:tc>
        <w:tc>
          <w:tcPr>
            <w:tcW w:w="232"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350</w:t>
            </w:r>
          </w:p>
        </w:tc>
        <w:tc>
          <w:tcPr>
            <w:tcW w:w="236"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350</w:t>
            </w:r>
          </w:p>
        </w:tc>
      </w:tr>
    </w:tbl>
    <w:p w:rsidR="00424C1D" w:rsidRPr="00EE0BE3"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year 2021/22 is £188k</w:t>
      </w:r>
    </w:p>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High</w:t>
            </w:r>
          </w:p>
        </w:tc>
      </w:tr>
    </w:tbl>
    <w:p w:rsidR="00424C1D" w:rsidRDefault="00424C1D" w:rsidP="00424C1D">
      <w:pPr>
        <w:tabs>
          <w:tab w:val="clear" w:pos="720"/>
        </w:tabs>
        <w:suppressAutoHyphens w:val="0"/>
        <w:rPr>
          <w:rFonts w:asciiTheme="majorHAnsi" w:eastAsiaTheme="majorEastAsia" w:hAnsiTheme="majorHAnsi" w:cstheme="majorBidi"/>
          <w:b/>
          <w:bCs/>
          <w:i/>
          <w:iCs/>
          <w:color w:val="4F81BD" w:themeColor="accent1"/>
        </w:rPr>
      </w:pPr>
    </w:p>
    <w:p w:rsidR="00424C1D" w:rsidRDefault="00424C1D" w:rsidP="00424C1D">
      <w:pPr>
        <w:tabs>
          <w:tab w:val="clear" w:pos="720"/>
        </w:tabs>
        <w:suppressAutoHyphens w:val="0"/>
        <w:rPr>
          <w:rFonts w:asciiTheme="majorHAnsi" w:eastAsiaTheme="majorEastAsia" w:hAnsiTheme="majorHAnsi" w:cstheme="majorBidi"/>
          <w:b/>
          <w:bCs/>
          <w:i/>
          <w:iCs/>
          <w:color w:val="4F81BD" w:themeColor="accent1"/>
        </w:rPr>
      </w:pPr>
      <w:r>
        <w:br w:type="page"/>
      </w:r>
    </w:p>
    <w:p w:rsidR="00424C1D" w:rsidRDefault="00424C1D" w:rsidP="00424C1D">
      <w:pPr>
        <w:pStyle w:val="Heading4"/>
      </w:pPr>
      <w:r>
        <w:lastRenderedPageBreak/>
        <w:t>Project: Edge Network Capacity Upgrades (Grow)</w:t>
      </w:r>
    </w:p>
    <w:p w:rsidR="00424C1D" w:rsidRPr="002047EB" w:rsidRDefault="00424C1D" w:rsidP="00424C1D">
      <w:pPr>
        <w:pStyle w:val="Textbody"/>
        <w:spacing w:after="0"/>
      </w:pPr>
      <w:r>
        <w:rPr>
          <w:b/>
          <w:sz w:val="20"/>
          <w:szCs w:val="20"/>
        </w:rPr>
        <w:t>Infrastructure Category: Network</w:t>
      </w:r>
    </w:p>
    <w:p w:rsidR="00424C1D" w:rsidRPr="00D93475" w:rsidRDefault="00424C1D" w:rsidP="00424C1D">
      <w:pPr>
        <w:rPr>
          <w:color w:val="auto"/>
        </w:rPr>
      </w:pPr>
      <w:r>
        <w:t xml:space="preserve">Improve bandwidth and resilience to campus buildings to support the increase in campus network traffic due to centralisation of research data and services and increase use of VoIP and video for online teaching.  </w:t>
      </w:r>
      <w:r w:rsidRPr="00D93475">
        <w:rPr>
          <w:color w:val="auto"/>
        </w:rPr>
        <w:t>Limited network capacity will encourage duplication via local infrastructure, inhibit a rich digital learning experience and will be a barrier to adoption of new technologies.</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rPr>
                <w:bCs/>
              </w:rPr>
            </w:pPr>
            <w:r w:rsidRPr="00576E67">
              <w:rPr>
                <w:i/>
                <w:iCs/>
              </w:rPr>
              <w:t>Excellence In Research</w:t>
            </w:r>
            <w:r>
              <w:rPr>
                <w:iCs/>
              </w:rPr>
              <w:t xml:space="preserve">: </w:t>
            </w:r>
            <w:r w:rsidRPr="00576E67">
              <w:rPr>
                <w:bCs/>
              </w:rPr>
              <w:t>Support for Pioneering Research</w:t>
            </w:r>
            <w:r>
              <w:rPr>
                <w:bCs/>
              </w:rPr>
              <w:t>; Efficiency in Research S</w:t>
            </w:r>
            <w:r w:rsidRPr="00576E67">
              <w:rPr>
                <w:bCs/>
              </w:rPr>
              <w:t>upport</w:t>
            </w:r>
          </w:p>
          <w:p w:rsidR="00424C1D" w:rsidRDefault="00424C1D" w:rsidP="00424C1D">
            <w:pPr>
              <w:pStyle w:val="TableContents"/>
              <w:spacing w:after="120"/>
            </w:pPr>
            <w:r>
              <w:rPr>
                <w:i/>
                <w:iCs/>
              </w:rPr>
              <w:t xml:space="preserve">Excellence in Education: </w:t>
            </w:r>
            <w:r w:rsidRPr="00576E67">
              <w:rPr>
                <w:bCs/>
              </w:rPr>
              <w:t>New Technologies in Education</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576E67">
              <w:rPr>
                <w:bCs/>
                <w:i/>
              </w:rPr>
              <w:t>Infrastructure</w:t>
            </w:r>
            <w:r w:rsidRPr="00576E67">
              <w:rPr>
                <w:bCs/>
              </w:rPr>
              <w:t>: Infrastructure Power and Resilience</w:t>
            </w:r>
            <w:r>
              <w:rPr>
                <w:bCs/>
              </w:rPr>
              <w:t xml:space="preserve">; </w:t>
            </w:r>
            <w:r w:rsidRPr="00576E67">
              <w:rPr>
                <w:bCs/>
              </w:rPr>
              <w:t>Responding to Future Technologies</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Edge Network Capacity</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75</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75</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75</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75</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Default="00424C1D" w:rsidP="00424C1D">
            <w:pPr>
              <w:pStyle w:val="Textbody"/>
            </w:pPr>
            <w:r>
              <w:t>Maintenance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2</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4</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5</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5</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041FE7" w:rsidRDefault="00424C1D" w:rsidP="00424C1D">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0</w:t>
            </w:r>
          </w:p>
        </w:tc>
        <w:tc>
          <w:tcPr>
            <w:tcW w:w="232"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19</w:t>
            </w:r>
          </w:p>
        </w:tc>
        <w:tc>
          <w:tcPr>
            <w:tcW w:w="266"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38</w:t>
            </w:r>
          </w:p>
        </w:tc>
        <w:tc>
          <w:tcPr>
            <w:tcW w:w="232"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56</w:t>
            </w:r>
          </w:p>
        </w:tc>
        <w:tc>
          <w:tcPr>
            <w:tcW w:w="236" w:type="dxa"/>
            <w:tcBorders>
              <w:top w:val="nil"/>
              <w:left w:val="nil"/>
              <w:bottom w:val="nil"/>
              <w:right w:val="nil"/>
            </w:tcBorders>
          </w:tcPr>
          <w:p w:rsidR="00424C1D" w:rsidRPr="00EE0BE3" w:rsidRDefault="00424C1D" w:rsidP="00424C1D">
            <w:pPr>
              <w:pStyle w:val="Textbody"/>
            </w:pPr>
          </w:p>
        </w:tc>
        <w:tc>
          <w:tcPr>
            <w:tcW w:w="980" w:type="dxa"/>
            <w:tcBorders>
              <w:top w:val="single" w:sz="4" w:space="0" w:color="A6A6A6" w:themeColor="background1" w:themeShade="A6"/>
              <w:left w:val="nil"/>
              <w:right w:val="nil"/>
            </w:tcBorders>
          </w:tcPr>
          <w:p w:rsidR="00424C1D" w:rsidRPr="00EE0BE3" w:rsidRDefault="00424C1D" w:rsidP="00424C1D">
            <w:pPr>
              <w:pStyle w:val="Textbody"/>
            </w:pPr>
            <w:r>
              <w:t>56</w:t>
            </w:r>
          </w:p>
        </w:tc>
      </w:tr>
    </w:tbl>
    <w:p w:rsidR="00424C1D"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2022/23 is £56k</w:t>
      </w:r>
    </w:p>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Medium</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High</w:t>
            </w:r>
          </w:p>
        </w:tc>
      </w:tr>
    </w:tbl>
    <w:p w:rsidR="00424C1D" w:rsidRDefault="00424C1D" w:rsidP="00424C1D">
      <w:pPr>
        <w:tabs>
          <w:tab w:val="clear" w:pos="720"/>
        </w:tabs>
        <w:suppressAutoHyphens w:val="0"/>
      </w:pPr>
    </w:p>
    <w:p w:rsidR="00424C1D" w:rsidRDefault="00424C1D" w:rsidP="00424C1D">
      <w:pPr>
        <w:tabs>
          <w:tab w:val="clear" w:pos="720"/>
        </w:tabs>
        <w:suppressAutoHyphens w:val="0"/>
        <w:rPr>
          <w:rFonts w:asciiTheme="majorHAnsi" w:eastAsiaTheme="majorEastAsia" w:hAnsiTheme="majorHAnsi" w:cstheme="majorBidi"/>
          <w:b/>
          <w:bCs/>
          <w:i/>
          <w:iCs/>
          <w:color w:val="4F81BD" w:themeColor="accent1"/>
        </w:rPr>
      </w:pPr>
      <w:r>
        <w:br w:type="page"/>
      </w:r>
    </w:p>
    <w:p w:rsidR="00424C1D" w:rsidRDefault="00424C1D" w:rsidP="00424C1D">
      <w:pPr>
        <w:pStyle w:val="Heading4"/>
      </w:pPr>
      <w:r>
        <w:lastRenderedPageBreak/>
        <w:t xml:space="preserve">Project: </w:t>
      </w:r>
      <w:proofErr w:type="spellStart"/>
      <w:r>
        <w:t>WiFi</w:t>
      </w:r>
      <w:proofErr w:type="spellEnd"/>
      <w:r>
        <w:t xml:space="preserve"> coverage (Grow)</w:t>
      </w:r>
    </w:p>
    <w:p w:rsidR="00424C1D" w:rsidRDefault="00424C1D" w:rsidP="00424C1D">
      <w:pPr>
        <w:pStyle w:val="Textbody"/>
        <w:spacing w:after="0"/>
        <w:rPr>
          <w:b/>
          <w:sz w:val="20"/>
          <w:szCs w:val="20"/>
        </w:rPr>
      </w:pPr>
      <w:r>
        <w:rPr>
          <w:b/>
          <w:sz w:val="20"/>
          <w:szCs w:val="20"/>
        </w:rPr>
        <w:t>Infrastructure Category: Network</w:t>
      </w:r>
    </w:p>
    <w:p w:rsidR="00424C1D" w:rsidRDefault="00424C1D" w:rsidP="00424C1D">
      <w:pPr>
        <w:pStyle w:val="Textbody"/>
        <w:spacing w:after="0"/>
      </w:pPr>
      <w:r>
        <w:t>We have wireless coverage of approximately 80% across the estate. Our target is 95% plus i.e. near 100%. This will ensure that we meet student and staff expectations of being able to work and learn anywhere on campus using their own devices. This could be seen as technical deficit but we think it clearer in this case to separate the activity from the Run costs.</w:t>
      </w:r>
    </w:p>
    <w:p w:rsidR="00424C1D" w:rsidRPr="003B668C" w:rsidRDefault="00424C1D" w:rsidP="00424C1D">
      <w:pPr>
        <w:pStyle w:val="Textbody"/>
        <w:spacing w:after="0"/>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03161F">
              <w:rPr>
                <w:bCs/>
                <w:i/>
              </w:rPr>
              <w:t>Infrastructure</w:t>
            </w:r>
            <w:r>
              <w:rPr>
                <w:bCs/>
              </w:rPr>
              <w:t xml:space="preserve">: </w:t>
            </w:r>
            <w:r w:rsidRPr="00576E67">
              <w:rPr>
                <w:bCs/>
              </w:rPr>
              <w:t>Infrastructure Power and Resilience</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576E67">
              <w:rPr>
                <w:bCs/>
              </w:rPr>
              <w:t>Outstanding Student Experience</w:t>
            </w: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proofErr w:type="spellStart"/>
            <w:r>
              <w:rPr>
                <w:b/>
              </w:rPr>
              <w:t>Wifi</w:t>
            </w:r>
            <w:proofErr w:type="spellEnd"/>
            <w:r>
              <w:rPr>
                <w:b/>
              </w:rPr>
              <w:t xml:space="preserve"> Coverage</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74</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74</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74</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6</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6</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6</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80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80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80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041FE7" w:rsidRDefault="00424C1D" w:rsidP="00424C1D">
            <w:pPr>
              <w:pStyle w:val="Textbody"/>
            </w:pPr>
            <w:r w:rsidRPr="00AF40D6">
              <w:t>Depreciation Charge</w:t>
            </w:r>
            <w:r w:rsidRPr="00081ADC">
              <w:rPr>
                <w:sz w:val="16"/>
                <w:szCs w:val="16"/>
              </w:rPr>
              <w:t>*</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0</w:t>
            </w:r>
          </w:p>
        </w:tc>
        <w:tc>
          <w:tcPr>
            <w:tcW w:w="232"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18</w:t>
            </w:r>
          </w:p>
        </w:tc>
        <w:tc>
          <w:tcPr>
            <w:tcW w:w="266"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37</w:t>
            </w:r>
          </w:p>
        </w:tc>
        <w:tc>
          <w:tcPr>
            <w:tcW w:w="232"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55</w:t>
            </w:r>
          </w:p>
        </w:tc>
        <w:tc>
          <w:tcPr>
            <w:tcW w:w="236"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55</w:t>
            </w:r>
          </w:p>
        </w:tc>
      </w:tr>
    </w:tbl>
    <w:p w:rsidR="00424C1D" w:rsidRPr="00081ADC"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2022/23 is £55k</w:t>
      </w:r>
    </w:p>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High</w:t>
            </w:r>
          </w:p>
        </w:tc>
      </w:tr>
    </w:tbl>
    <w:p w:rsidR="00424C1D" w:rsidRDefault="00424C1D" w:rsidP="00424C1D">
      <w:pPr>
        <w:tabs>
          <w:tab w:val="clear" w:pos="720"/>
        </w:tabs>
        <w:suppressAutoHyphens w:val="0"/>
      </w:pPr>
    </w:p>
    <w:p w:rsidR="00424C1D" w:rsidRDefault="00424C1D" w:rsidP="00424C1D">
      <w:pPr>
        <w:tabs>
          <w:tab w:val="clear" w:pos="720"/>
        </w:tabs>
        <w:suppressAutoHyphens w:val="0"/>
      </w:pPr>
      <w:r>
        <w:br w:type="page"/>
      </w:r>
    </w:p>
    <w:p w:rsidR="00424C1D" w:rsidRDefault="00424C1D" w:rsidP="00424C1D">
      <w:pPr>
        <w:pStyle w:val="Heading4"/>
      </w:pPr>
      <w:r>
        <w:lastRenderedPageBreak/>
        <w:t xml:space="preserve">Project: </w:t>
      </w:r>
      <w:r w:rsidRPr="000B5101">
        <w:t>Growth in edge capacity to match estate growth</w:t>
      </w:r>
      <w:r>
        <w:t xml:space="preserve"> (Grow)</w:t>
      </w:r>
    </w:p>
    <w:p w:rsidR="00424C1D" w:rsidRPr="002047EB" w:rsidRDefault="00424C1D" w:rsidP="00424C1D">
      <w:pPr>
        <w:pStyle w:val="Textbody"/>
        <w:spacing w:after="0"/>
      </w:pPr>
      <w:r>
        <w:rPr>
          <w:b/>
          <w:sz w:val="20"/>
          <w:szCs w:val="20"/>
        </w:rPr>
        <w:t>Infrastructure Category: Network</w:t>
      </w:r>
    </w:p>
    <w:p w:rsidR="00424C1D" w:rsidRDefault="00424C1D" w:rsidP="00424C1D">
      <w:r>
        <w:t>The edge network wired and wireless will grow in direct proportion to the size of our estate. The capital costs involved in this expansion are expected to be met as part of the building programme,  but  it is important to recognise this requires IS to find the operating costs of the projects and the increased running costs in the long term.</w:t>
      </w:r>
    </w:p>
    <w:p w:rsidR="00424C1D" w:rsidRPr="003B668C" w:rsidRDefault="00424C1D" w:rsidP="00424C1D">
      <w:r>
        <w:t>The scale of expansion and rate of change within the network as a consequence of the estates expansion will determine the profile of the capital and operational costs over the next five years and beyond.  In estimating the additional operational effort required to service the expanded estate, we have assumed 30% growth over five years.</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03161F">
              <w:rPr>
                <w:bCs/>
                <w:i/>
              </w:rPr>
              <w:t>Infrastructure</w:t>
            </w:r>
            <w:r>
              <w:rPr>
                <w:bCs/>
              </w:rPr>
              <w:t xml:space="preserve">: </w:t>
            </w:r>
            <w:r w:rsidRPr="00576E67">
              <w:rPr>
                <w:bCs/>
              </w:rPr>
              <w:t>Infrastructure Power and Resilience</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Edge Network, Technical Debt</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Staff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25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25</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50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75</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 xml:space="preserve">Efficiencies </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D16A77" w:rsidRDefault="00424C1D" w:rsidP="00424C1D">
            <w:pPr>
              <w:pStyle w:val="Textbody"/>
            </w:pPr>
            <w:r w:rsidRPr="00AF40D6">
              <w:t>Depreciation Charge</w:t>
            </w:r>
            <w:r w:rsidRPr="00EE0BE3">
              <w:rPr>
                <w:sz w:val="16"/>
                <w:szCs w:val="16"/>
              </w:rPr>
              <w:t>*</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0</w:t>
            </w:r>
          </w:p>
        </w:tc>
        <w:tc>
          <w:tcPr>
            <w:tcW w:w="232"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0</w:t>
            </w:r>
          </w:p>
        </w:tc>
        <w:tc>
          <w:tcPr>
            <w:tcW w:w="266"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0</w:t>
            </w:r>
          </w:p>
        </w:tc>
        <w:tc>
          <w:tcPr>
            <w:tcW w:w="232"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0</w:t>
            </w:r>
          </w:p>
        </w:tc>
        <w:tc>
          <w:tcPr>
            <w:tcW w:w="236" w:type="dxa"/>
            <w:tcBorders>
              <w:top w:val="nil"/>
              <w:left w:val="nil"/>
              <w:bottom w:val="nil"/>
              <w:right w:val="nil"/>
            </w:tcBorders>
          </w:tcPr>
          <w:p w:rsidR="00424C1D" w:rsidRPr="00C86CDF" w:rsidRDefault="00424C1D" w:rsidP="00424C1D">
            <w:pPr>
              <w:pStyle w:val="Textbody"/>
            </w:pPr>
          </w:p>
        </w:tc>
        <w:tc>
          <w:tcPr>
            <w:tcW w:w="980" w:type="dxa"/>
            <w:tcBorders>
              <w:top w:val="single" w:sz="4" w:space="0" w:color="A6A6A6" w:themeColor="background1" w:themeShade="A6"/>
              <w:left w:val="nil"/>
              <w:right w:val="nil"/>
            </w:tcBorders>
          </w:tcPr>
          <w:p w:rsidR="00424C1D" w:rsidRPr="00C86CDF" w:rsidRDefault="00424C1D" w:rsidP="00424C1D">
            <w:pPr>
              <w:pStyle w:val="Textbody"/>
            </w:pPr>
            <w:r>
              <w:t>0</w:t>
            </w:r>
          </w:p>
        </w:tc>
      </w:tr>
    </w:tbl>
    <w:p w:rsidR="00424C1D" w:rsidRPr="008B576D" w:rsidRDefault="00424C1D" w:rsidP="00424C1D">
      <w:pPr>
        <w:pStyle w:val="Textbody"/>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Medium</w:t>
            </w:r>
          </w:p>
        </w:tc>
      </w:tr>
    </w:tbl>
    <w:p w:rsidR="00424C1D" w:rsidRDefault="00424C1D" w:rsidP="00424C1D"/>
    <w:p w:rsidR="00424C1D" w:rsidRDefault="00424C1D" w:rsidP="00424C1D">
      <w:r>
        <w:br w:type="page"/>
      </w:r>
    </w:p>
    <w:p w:rsidR="00C55EB7" w:rsidRPr="00B460AE" w:rsidRDefault="00C55EB7" w:rsidP="00C55EB7">
      <w:pPr>
        <w:keepNext/>
        <w:keepLines/>
        <w:spacing w:before="200" w:after="0"/>
        <w:outlineLvl w:val="3"/>
        <w:rPr>
          <w:rFonts w:asciiTheme="majorHAnsi" w:eastAsiaTheme="majorEastAsia" w:hAnsiTheme="majorHAnsi" w:cstheme="majorBidi"/>
          <w:b/>
          <w:bCs/>
          <w:i/>
          <w:iCs/>
          <w:color w:val="4F81BD" w:themeColor="accent1"/>
        </w:rPr>
      </w:pPr>
      <w:r w:rsidRPr="00B460AE">
        <w:rPr>
          <w:rFonts w:asciiTheme="majorHAnsi" w:eastAsiaTheme="majorEastAsia" w:hAnsiTheme="majorHAnsi" w:cstheme="majorBidi"/>
          <w:b/>
          <w:bCs/>
          <w:i/>
          <w:iCs/>
          <w:color w:val="4F81BD" w:themeColor="accent1"/>
        </w:rPr>
        <w:lastRenderedPageBreak/>
        <w:t>Project: Streng</w:t>
      </w:r>
      <w:r>
        <w:rPr>
          <w:rFonts w:asciiTheme="majorHAnsi" w:eastAsiaTheme="majorEastAsia" w:hAnsiTheme="majorHAnsi" w:cstheme="majorBidi"/>
          <w:b/>
          <w:bCs/>
          <w:i/>
          <w:iCs/>
          <w:color w:val="4F81BD" w:themeColor="accent1"/>
        </w:rPr>
        <w:t>then Network Security (Grow</w:t>
      </w:r>
      <w:r w:rsidRPr="00B460AE">
        <w:rPr>
          <w:rFonts w:asciiTheme="majorHAnsi" w:eastAsiaTheme="majorEastAsia" w:hAnsiTheme="majorHAnsi" w:cstheme="majorBidi"/>
          <w:b/>
          <w:bCs/>
          <w:i/>
          <w:iCs/>
          <w:color w:val="4F81BD" w:themeColor="accent1"/>
        </w:rPr>
        <w:t>)</w:t>
      </w:r>
    </w:p>
    <w:p w:rsidR="00C55EB7" w:rsidRPr="00295910" w:rsidRDefault="00C55EB7" w:rsidP="00C55EB7">
      <w:pPr>
        <w:spacing w:after="0"/>
      </w:pPr>
      <w:r w:rsidRPr="00295910">
        <w:rPr>
          <w:b/>
          <w:sz w:val="20"/>
          <w:szCs w:val="20"/>
        </w:rPr>
        <w:t>Infrastructure Category:  Network</w:t>
      </w:r>
    </w:p>
    <w:p w:rsidR="00C55EB7" w:rsidRPr="00295910" w:rsidRDefault="00C55EB7" w:rsidP="00C55EB7">
      <w:pPr>
        <w:spacing w:after="0"/>
      </w:pPr>
      <w:r>
        <w:t xml:space="preserve">Due to the increase in importance of the digital services to all aspects of the University’s business and the increase in the number and sophistication of security attacks, </w:t>
      </w:r>
      <w:r w:rsidR="004837F5">
        <w:t xml:space="preserve">we require </w:t>
      </w:r>
      <w:proofErr w:type="gramStart"/>
      <w:r w:rsidR="004837F5">
        <w:t>to i</w:t>
      </w:r>
      <w:r w:rsidRPr="00295910">
        <w:t>mprove</w:t>
      </w:r>
      <w:proofErr w:type="gramEnd"/>
      <w:r w:rsidRPr="00295910">
        <w:t xml:space="preserve"> the service and data security by introducing additional network controls, such as Intrusion Detection and Prevention services. As threat levels rise so the risk of business disruption and or loss of reputation increase, failure to invest appropriately could be very damaging.</w:t>
      </w: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C55EB7" w:rsidRPr="00295910" w:rsidTr="00F95BC3">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55EB7" w:rsidRPr="00295910" w:rsidRDefault="00C55EB7" w:rsidP="00F95BC3">
            <w:pPr>
              <w:suppressLineNumbers/>
              <w:spacing w:after="120"/>
              <w:ind w:left="87"/>
              <w:rPr>
                <w:b/>
              </w:rPr>
            </w:pPr>
            <w:r w:rsidRPr="00295910">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Pr="00295910" w:rsidRDefault="00C55EB7" w:rsidP="00F95BC3">
            <w:pPr>
              <w:suppressLineNumbers/>
              <w:spacing w:after="120"/>
            </w:pPr>
          </w:p>
        </w:tc>
      </w:tr>
      <w:tr w:rsidR="00C55EB7" w:rsidRPr="00295910"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C55EB7" w:rsidRPr="00295910" w:rsidRDefault="00C55EB7" w:rsidP="00F95BC3">
            <w:pPr>
              <w:suppressLineNumbers/>
              <w:spacing w:after="120"/>
              <w:ind w:left="87"/>
              <w:rPr>
                <w:b/>
              </w:rPr>
            </w:pPr>
            <w:r w:rsidRPr="00295910">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Pr="00295910" w:rsidRDefault="00C55EB7" w:rsidP="00F95BC3">
            <w:pPr>
              <w:suppressLineNumbers/>
              <w:spacing w:after="120"/>
            </w:pPr>
            <w:r w:rsidRPr="00295910">
              <w:rPr>
                <w:i/>
              </w:rPr>
              <w:t>Infrastructure</w:t>
            </w:r>
            <w:r w:rsidRPr="00295910">
              <w:t xml:space="preserve">: </w:t>
            </w:r>
            <w:r w:rsidRPr="00295910">
              <w:rPr>
                <w:bCs/>
              </w:rPr>
              <w:t>Infrastructure Power and Resilience</w:t>
            </w:r>
          </w:p>
        </w:tc>
      </w:tr>
      <w:tr w:rsidR="00C55EB7" w:rsidRPr="00295910"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C55EB7" w:rsidRPr="00295910" w:rsidRDefault="00C55EB7" w:rsidP="00F95BC3">
            <w:pPr>
              <w:suppressLineNumbers/>
              <w:spacing w:after="120"/>
              <w:ind w:left="87"/>
              <w:rPr>
                <w:b/>
              </w:rPr>
            </w:pPr>
            <w:r w:rsidRPr="00295910">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5EB7" w:rsidRPr="00295910" w:rsidRDefault="00C55EB7" w:rsidP="00F95BC3">
            <w:pPr>
              <w:suppressLineNumbers/>
              <w:spacing w:after="120"/>
            </w:pPr>
          </w:p>
        </w:tc>
      </w:tr>
    </w:tbl>
    <w:p w:rsidR="00C55EB7" w:rsidRPr="00295910" w:rsidRDefault="00C55EB7" w:rsidP="00C55EB7">
      <w:pPr>
        <w:spacing w:after="120"/>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C55EB7" w:rsidRPr="00295910" w:rsidTr="00F95BC3">
        <w:tc>
          <w:tcPr>
            <w:tcW w:w="3142" w:type="dxa"/>
            <w:tcBorders>
              <w:left w:val="nil"/>
              <w:right w:val="nil"/>
            </w:tcBorders>
          </w:tcPr>
          <w:p w:rsidR="00C55EB7" w:rsidRPr="00295910" w:rsidRDefault="00C55EB7" w:rsidP="00F95BC3">
            <w:pPr>
              <w:rPr>
                <w:b/>
              </w:rPr>
            </w:pPr>
            <w:r w:rsidRPr="00295910">
              <w:rPr>
                <w:b/>
              </w:rPr>
              <w:t>Strengthen Network Security</w:t>
            </w:r>
          </w:p>
          <w:p w:rsidR="00C55EB7" w:rsidRPr="00295910" w:rsidRDefault="00C55EB7" w:rsidP="00F95BC3">
            <w:pPr>
              <w:rPr>
                <w:b/>
              </w:rPr>
            </w:pPr>
            <w:r w:rsidRPr="00295910">
              <w:rPr>
                <w:b/>
              </w:rPr>
              <w:t>Project Expenditure</w:t>
            </w:r>
          </w:p>
        </w:tc>
        <w:tc>
          <w:tcPr>
            <w:tcW w:w="234" w:type="dxa"/>
            <w:tcBorders>
              <w:top w:val="nil"/>
              <w:left w:val="nil"/>
              <w:bottom w:val="nil"/>
              <w:right w:val="nil"/>
            </w:tcBorders>
          </w:tcPr>
          <w:p w:rsidR="00C55EB7" w:rsidRPr="00295910" w:rsidRDefault="00C55EB7" w:rsidP="00F95BC3">
            <w:pPr>
              <w:rPr>
                <w:b/>
              </w:rPr>
            </w:pPr>
          </w:p>
        </w:tc>
        <w:tc>
          <w:tcPr>
            <w:tcW w:w="980" w:type="dxa"/>
            <w:tcBorders>
              <w:left w:val="nil"/>
              <w:right w:val="nil"/>
            </w:tcBorders>
          </w:tcPr>
          <w:p w:rsidR="00C55EB7" w:rsidRPr="00295910" w:rsidRDefault="00C55EB7" w:rsidP="00F95BC3">
            <w:pPr>
              <w:rPr>
                <w:b/>
              </w:rPr>
            </w:pPr>
            <w:r w:rsidRPr="00295910">
              <w:rPr>
                <w:b/>
              </w:rPr>
              <w:t>2015/16</w:t>
            </w:r>
          </w:p>
          <w:p w:rsidR="00C55EB7" w:rsidRPr="00295910" w:rsidRDefault="00C55EB7" w:rsidP="00F95BC3">
            <w:pPr>
              <w:rPr>
                <w:b/>
              </w:rPr>
            </w:pPr>
            <w:r w:rsidRPr="00295910">
              <w:rPr>
                <w:b/>
              </w:rPr>
              <w:t>(£000)</w:t>
            </w:r>
          </w:p>
        </w:tc>
        <w:tc>
          <w:tcPr>
            <w:tcW w:w="232" w:type="dxa"/>
            <w:tcBorders>
              <w:top w:val="nil"/>
              <w:left w:val="nil"/>
              <w:bottom w:val="nil"/>
              <w:right w:val="nil"/>
            </w:tcBorders>
          </w:tcPr>
          <w:p w:rsidR="00C55EB7" w:rsidRPr="00295910" w:rsidRDefault="00C55EB7" w:rsidP="00F95BC3">
            <w:pPr>
              <w:rPr>
                <w:b/>
              </w:rPr>
            </w:pPr>
          </w:p>
        </w:tc>
        <w:tc>
          <w:tcPr>
            <w:tcW w:w="980" w:type="dxa"/>
            <w:tcBorders>
              <w:left w:val="nil"/>
              <w:right w:val="nil"/>
            </w:tcBorders>
          </w:tcPr>
          <w:p w:rsidR="00C55EB7" w:rsidRPr="00295910" w:rsidRDefault="00C55EB7" w:rsidP="00F95BC3">
            <w:pPr>
              <w:rPr>
                <w:b/>
              </w:rPr>
            </w:pPr>
            <w:r w:rsidRPr="00295910">
              <w:rPr>
                <w:b/>
              </w:rPr>
              <w:t>2016/17</w:t>
            </w:r>
          </w:p>
          <w:p w:rsidR="00C55EB7" w:rsidRPr="00295910" w:rsidRDefault="00C55EB7" w:rsidP="00F95BC3">
            <w:pPr>
              <w:rPr>
                <w:b/>
              </w:rPr>
            </w:pPr>
            <w:r w:rsidRPr="00295910">
              <w:rPr>
                <w:b/>
              </w:rPr>
              <w:t>(£000)</w:t>
            </w:r>
          </w:p>
        </w:tc>
        <w:tc>
          <w:tcPr>
            <w:tcW w:w="266" w:type="dxa"/>
            <w:tcBorders>
              <w:top w:val="nil"/>
              <w:left w:val="nil"/>
              <w:bottom w:val="nil"/>
              <w:right w:val="nil"/>
            </w:tcBorders>
          </w:tcPr>
          <w:p w:rsidR="00C55EB7" w:rsidRPr="00295910" w:rsidRDefault="00C55EB7" w:rsidP="00F95BC3">
            <w:pPr>
              <w:rPr>
                <w:b/>
              </w:rPr>
            </w:pPr>
          </w:p>
        </w:tc>
        <w:tc>
          <w:tcPr>
            <w:tcW w:w="980" w:type="dxa"/>
            <w:tcBorders>
              <w:left w:val="nil"/>
              <w:right w:val="nil"/>
            </w:tcBorders>
          </w:tcPr>
          <w:p w:rsidR="00C55EB7" w:rsidRPr="00295910" w:rsidRDefault="00C55EB7" w:rsidP="00F95BC3">
            <w:pPr>
              <w:rPr>
                <w:b/>
              </w:rPr>
            </w:pPr>
            <w:r w:rsidRPr="00295910">
              <w:rPr>
                <w:b/>
              </w:rPr>
              <w:t>2017/18</w:t>
            </w:r>
          </w:p>
          <w:p w:rsidR="00C55EB7" w:rsidRPr="00295910" w:rsidRDefault="00C55EB7" w:rsidP="00F95BC3">
            <w:pPr>
              <w:rPr>
                <w:b/>
              </w:rPr>
            </w:pPr>
            <w:r w:rsidRPr="00295910">
              <w:rPr>
                <w:b/>
              </w:rPr>
              <w:t>(£000)</w:t>
            </w:r>
          </w:p>
        </w:tc>
        <w:tc>
          <w:tcPr>
            <w:tcW w:w="232" w:type="dxa"/>
            <w:tcBorders>
              <w:top w:val="nil"/>
              <w:left w:val="nil"/>
              <w:bottom w:val="nil"/>
              <w:right w:val="nil"/>
            </w:tcBorders>
          </w:tcPr>
          <w:p w:rsidR="00C55EB7" w:rsidRPr="00295910" w:rsidRDefault="00C55EB7" w:rsidP="00F95BC3">
            <w:pPr>
              <w:rPr>
                <w:b/>
              </w:rPr>
            </w:pPr>
          </w:p>
        </w:tc>
        <w:tc>
          <w:tcPr>
            <w:tcW w:w="980" w:type="dxa"/>
            <w:tcBorders>
              <w:left w:val="nil"/>
              <w:right w:val="nil"/>
            </w:tcBorders>
          </w:tcPr>
          <w:p w:rsidR="00C55EB7" w:rsidRPr="00295910" w:rsidRDefault="00C55EB7" w:rsidP="00F95BC3">
            <w:pPr>
              <w:rPr>
                <w:b/>
              </w:rPr>
            </w:pPr>
            <w:r w:rsidRPr="00295910">
              <w:rPr>
                <w:b/>
              </w:rPr>
              <w:t>2018/19 (£000)</w:t>
            </w:r>
          </w:p>
        </w:tc>
        <w:tc>
          <w:tcPr>
            <w:tcW w:w="236" w:type="dxa"/>
            <w:tcBorders>
              <w:top w:val="nil"/>
              <w:left w:val="nil"/>
              <w:bottom w:val="nil"/>
              <w:right w:val="nil"/>
            </w:tcBorders>
          </w:tcPr>
          <w:p w:rsidR="00C55EB7" w:rsidRPr="00295910" w:rsidRDefault="00C55EB7" w:rsidP="00F95BC3">
            <w:pPr>
              <w:rPr>
                <w:b/>
              </w:rPr>
            </w:pPr>
          </w:p>
        </w:tc>
        <w:tc>
          <w:tcPr>
            <w:tcW w:w="980" w:type="dxa"/>
            <w:tcBorders>
              <w:left w:val="nil"/>
              <w:right w:val="nil"/>
            </w:tcBorders>
          </w:tcPr>
          <w:p w:rsidR="00C55EB7" w:rsidRPr="00295910" w:rsidRDefault="00C55EB7" w:rsidP="00F95BC3">
            <w:pPr>
              <w:rPr>
                <w:b/>
              </w:rPr>
            </w:pPr>
            <w:r w:rsidRPr="00295910">
              <w:rPr>
                <w:b/>
              </w:rPr>
              <w:t>2019/20 (£000)</w:t>
            </w:r>
          </w:p>
        </w:tc>
      </w:tr>
      <w:tr w:rsidR="00C55EB7" w:rsidRPr="00295910" w:rsidTr="00F95BC3">
        <w:tc>
          <w:tcPr>
            <w:tcW w:w="3142" w:type="dxa"/>
            <w:tcBorders>
              <w:left w:val="nil"/>
              <w:bottom w:val="single" w:sz="4" w:space="0" w:color="BFBFBF" w:themeColor="background1" w:themeShade="BF"/>
              <w:right w:val="nil"/>
            </w:tcBorders>
          </w:tcPr>
          <w:p w:rsidR="00C55EB7" w:rsidRPr="00295910" w:rsidRDefault="00C55EB7" w:rsidP="00F95BC3">
            <w:pPr>
              <w:spacing w:after="120"/>
            </w:pPr>
            <w:r w:rsidRPr="00295910">
              <w:t>Capital project expenditure</w:t>
            </w:r>
          </w:p>
        </w:tc>
        <w:tc>
          <w:tcPr>
            <w:tcW w:w="234" w:type="dxa"/>
            <w:tcBorders>
              <w:top w:val="nil"/>
              <w:left w:val="nil"/>
              <w:bottom w:val="nil"/>
              <w:right w:val="nil"/>
            </w:tcBorders>
          </w:tcPr>
          <w:p w:rsidR="00C55EB7" w:rsidRPr="00295910" w:rsidRDefault="00C55EB7" w:rsidP="00F95BC3">
            <w:pPr>
              <w:spacing w:after="120"/>
            </w:pPr>
          </w:p>
        </w:tc>
        <w:tc>
          <w:tcPr>
            <w:tcW w:w="980" w:type="dxa"/>
            <w:tcBorders>
              <w:left w:val="nil"/>
              <w:bottom w:val="single" w:sz="4" w:space="0" w:color="BFBFBF" w:themeColor="background1" w:themeShade="BF"/>
              <w:right w:val="nil"/>
            </w:tcBorders>
          </w:tcPr>
          <w:p w:rsidR="00C55EB7" w:rsidRPr="00295910" w:rsidRDefault="00C55EB7" w:rsidP="00F95BC3">
            <w:pPr>
              <w:spacing w:after="120"/>
            </w:pPr>
            <w:r w:rsidRPr="00295910">
              <w:t>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left w:val="nil"/>
              <w:bottom w:val="single" w:sz="4" w:space="0" w:color="BFBFBF" w:themeColor="background1" w:themeShade="BF"/>
              <w:right w:val="nil"/>
            </w:tcBorders>
          </w:tcPr>
          <w:p w:rsidR="00C55EB7" w:rsidRPr="00295910" w:rsidRDefault="00C55EB7" w:rsidP="00F95BC3">
            <w:pPr>
              <w:spacing w:after="120"/>
            </w:pPr>
            <w:r w:rsidRPr="00295910">
              <w:t>200</w:t>
            </w:r>
          </w:p>
        </w:tc>
        <w:tc>
          <w:tcPr>
            <w:tcW w:w="266" w:type="dxa"/>
            <w:tcBorders>
              <w:top w:val="nil"/>
              <w:left w:val="nil"/>
              <w:bottom w:val="nil"/>
              <w:right w:val="nil"/>
            </w:tcBorders>
          </w:tcPr>
          <w:p w:rsidR="00C55EB7" w:rsidRPr="00295910" w:rsidRDefault="00C55EB7" w:rsidP="00F95BC3">
            <w:pPr>
              <w:spacing w:after="120"/>
            </w:pPr>
          </w:p>
        </w:tc>
        <w:tc>
          <w:tcPr>
            <w:tcW w:w="980" w:type="dxa"/>
            <w:tcBorders>
              <w:left w:val="nil"/>
              <w:bottom w:val="single" w:sz="4" w:space="0" w:color="BFBFBF" w:themeColor="background1" w:themeShade="BF"/>
              <w:right w:val="nil"/>
            </w:tcBorders>
          </w:tcPr>
          <w:p w:rsidR="00C55EB7" w:rsidRPr="00295910" w:rsidRDefault="00C55EB7" w:rsidP="00F95BC3">
            <w:pPr>
              <w:spacing w:after="120"/>
            </w:pPr>
            <w:r w:rsidRPr="00295910">
              <w:t>400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left w:val="nil"/>
              <w:bottom w:val="single" w:sz="4" w:space="0" w:color="BFBFBF" w:themeColor="background1" w:themeShade="BF"/>
              <w:right w:val="nil"/>
            </w:tcBorders>
          </w:tcPr>
          <w:p w:rsidR="00C55EB7" w:rsidRPr="00295910" w:rsidRDefault="00C55EB7" w:rsidP="00F95BC3">
            <w:pPr>
              <w:spacing w:after="120"/>
            </w:pPr>
            <w:r w:rsidRPr="00295910">
              <w:t>0</w:t>
            </w:r>
          </w:p>
        </w:tc>
        <w:tc>
          <w:tcPr>
            <w:tcW w:w="236" w:type="dxa"/>
            <w:tcBorders>
              <w:top w:val="nil"/>
              <w:left w:val="nil"/>
              <w:bottom w:val="nil"/>
              <w:right w:val="nil"/>
            </w:tcBorders>
          </w:tcPr>
          <w:p w:rsidR="00C55EB7" w:rsidRPr="00295910" w:rsidRDefault="00C55EB7" w:rsidP="00F95BC3">
            <w:pPr>
              <w:spacing w:after="120"/>
            </w:pPr>
          </w:p>
        </w:tc>
        <w:tc>
          <w:tcPr>
            <w:tcW w:w="980" w:type="dxa"/>
            <w:tcBorders>
              <w:left w:val="nil"/>
              <w:bottom w:val="single" w:sz="4" w:space="0" w:color="BFBFBF" w:themeColor="background1" w:themeShade="BF"/>
              <w:right w:val="nil"/>
            </w:tcBorders>
          </w:tcPr>
          <w:p w:rsidR="00C55EB7" w:rsidRPr="00295910" w:rsidRDefault="00C55EB7" w:rsidP="00F95BC3">
            <w:pPr>
              <w:spacing w:after="120"/>
            </w:pPr>
            <w:r w:rsidRPr="00295910">
              <w:t>0</w:t>
            </w:r>
          </w:p>
        </w:tc>
      </w:tr>
      <w:tr w:rsidR="00C55EB7" w:rsidRPr="00295910" w:rsidTr="00F95BC3">
        <w:tc>
          <w:tcPr>
            <w:tcW w:w="3142" w:type="dxa"/>
            <w:tcBorders>
              <w:top w:val="single" w:sz="4" w:space="0" w:color="BFBFBF" w:themeColor="background1" w:themeShade="BF"/>
              <w:left w:val="nil"/>
              <w:bottom w:val="single" w:sz="4" w:space="0" w:color="BFBFBF" w:themeColor="background1" w:themeShade="BF"/>
              <w:right w:val="nil"/>
            </w:tcBorders>
          </w:tcPr>
          <w:p w:rsidR="00C55EB7" w:rsidRPr="00295910" w:rsidRDefault="00C55EB7" w:rsidP="00F95BC3">
            <w:pPr>
              <w:spacing w:after="120"/>
            </w:pPr>
            <w:r w:rsidRPr="00295910">
              <w:t>Revenue project expenditure</w:t>
            </w:r>
          </w:p>
        </w:tc>
        <w:tc>
          <w:tcPr>
            <w:tcW w:w="234"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295910" w:rsidRDefault="00C55EB7" w:rsidP="00F95BC3">
            <w:pPr>
              <w:spacing w:after="120"/>
            </w:pPr>
            <w:r w:rsidRPr="00295910">
              <w:t>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295910" w:rsidRDefault="00C55EB7" w:rsidP="00F95BC3">
            <w:pPr>
              <w:spacing w:after="120"/>
            </w:pPr>
            <w:r w:rsidRPr="00295910">
              <w:t>0</w:t>
            </w:r>
          </w:p>
        </w:tc>
        <w:tc>
          <w:tcPr>
            <w:tcW w:w="266"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295910" w:rsidRDefault="00C55EB7" w:rsidP="00F95BC3">
            <w:pPr>
              <w:spacing w:after="120"/>
            </w:pPr>
            <w:r w:rsidRPr="00295910">
              <w:t>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295910" w:rsidRDefault="00C55EB7" w:rsidP="00F95BC3">
            <w:pPr>
              <w:spacing w:after="120"/>
            </w:pPr>
            <w:r w:rsidRPr="00295910">
              <w:t>0</w:t>
            </w:r>
          </w:p>
        </w:tc>
        <w:tc>
          <w:tcPr>
            <w:tcW w:w="236"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BFBFBF" w:themeColor="background1" w:themeShade="BF"/>
              <w:right w:val="nil"/>
            </w:tcBorders>
          </w:tcPr>
          <w:p w:rsidR="00C55EB7" w:rsidRPr="00295910" w:rsidRDefault="00C55EB7" w:rsidP="00F95BC3">
            <w:pPr>
              <w:spacing w:after="120"/>
            </w:pPr>
            <w:r w:rsidRPr="00295910">
              <w:t>0</w:t>
            </w:r>
          </w:p>
        </w:tc>
      </w:tr>
      <w:tr w:rsidR="00C55EB7" w:rsidRPr="00295910" w:rsidTr="00F95BC3">
        <w:tc>
          <w:tcPr>
            <w:tcW w:w="3142" w:type="dxa"/>
            <w:tcBorders>
              <w:top w:val="single" w:sz="4" w:space="0" w:color="BFBFBF" w:themeColor="background1" w:themeShade="BF"/>
              <w:left w:val="nil"/>
              <w:bottom w:val="single" w:sz="4" w:space="0" w:color="auto"/>
              <w:right w:val="nil"/>
            </w:tcBorders>
          </w:tcPr>
          <w:p w:rsidR="00C55EB7" w:rsidRPr="00295910" w:rsidRDefault="00C55EB7" w:rsidP="00F95BC3">
            <w:pPr>
              <w:spacing w:after="120"/>
              <w:rPr>
                <w:b/>
              </w:rPr>
            </w:pPr>
            <w:r w:rsidRPr="00295910">
              <w:rPr>
                <w:b/>
              </w:rPr>
              <w:t>Total project expenditure</w:t>
            </w:r>
          </w:p>
        </w:tc>
        <w:tc>
          <w:tcPr>
            <w:tcW w:w="234" w:type="dxa"/>
            <w:tcBorders>
              <w:top w:val="nil"/>
              <w:left w:val="nil"/>
              <w:bottom w:val="nil"/>
              <w:right w:val="nil"/>
            </w:tcBorders>
          </w:tcPr>
          <w:p w:rsidR="00C55EB7" w:rsidRPr="00295910" w:rsidRDefault="00C55EB7" w:rsidP="00F95BC3">
            <w:pPr>
              <w:spacing w:after="120"/>
              <w:rPr>
                <w:b/>
              </w:rPr>
            </w:pPr>
          </w:p>
        </w:tc>
        <w:tc>
          <w:tcPr>
            <w:tcW w:w="980" w:type="dxa"/>
            <w:tcBorders>
              <w:top w:val="single" w:sz="4" w:space="0" w:color="BFBFBF" w:themeColor="background1" w:themeShade="BF"/>
              <w:left w:val="nil"/>
              <w:bottom w:val="single" w:sz="4" w:space="0" w:color="auto"/>
              <w:right w:val="nil"/>
            </w:tcBorders>
          </w:tcPr>
          <w:p w:rsidR="00C55EB7" w:rsidRPr="00295910" w:rsidRDefault="00C55EB7" w:rsidP="00F95BC3">
            <w:pPr>
              <w:spacing w:after="120"/>
              <w:rPr>
                <w:b/>
              </w:rPr>
            </w:pPr>
            <w:r w:rsidRPr="00295910">
              <w:rPr>
                <w:b/>
              </w:rPr>
              <w:t>0</w:t>
            </w:r>
          </w:p>
        </w:tc>
        <w:tc>
          <w:tcPr>
            <w:tcW w:w="232" w:type="dxa"/>
            <w:tcBorders>
              <w:top w:val="nil"/>
              <w:left w:val="nil"/>
              <w:bottom w:val="nil"/>
              <w:right w:val="nil"/>
            </w:tcBorders>
          </w:tcPr>
          <w:p w:rsidR="00C55EB7" w:rsidRPr="00295910" w:rsidRDefault="00C55EB7" w:rsidP="00F95BC3">
            <w:pPr>
              <w:spacing w:after="120"/>
              <w:rPr>
                <w:b/>
              </w:rPr>
            </w:pPr>
          </w:p>
        </w:tc>
        <w:tc>
          <w:tcPr>
            <w:tcW w:w="980" w:type="dxa"/>
            <w:tcBorders>
              <w:top w:val="single" w:sz="4" w:space="0" w:color="BFBFBF" w:themeColor="background1" w:themeShade="BF"/>
              <w:left w:val="nil"/>
              <w:bottom w:val="single" w:sz="4" w:space="0" w:color="auto"/>
              <w:right w:val="nil"/>
            </w:tcBorders>
          </w:tcPr>
          <w:p w:rsidR="00C55EB7" w:rsidRPr="00295910" w:rsidRDefault="00C55EB7" w:rsidP="00F95BC3">
            <w:pPr>
              <w:spacing w:after="120"/>
              <w:rPr>
                <w:b/>
              </w:rPr>
            </w:pPr>
            <w:r w:rsidRPr="00295910">
              <w:rPr>
                <w:b/>
              </w:rPr>
              <w:t>200</w:t>
            </w:r>
          </w:p>
        </w:tc>
        <w:tc>
          <w:tcPr>
            <w:tcW w:w="266" w:type="dxa"/>
            <w:tcBorders>
              <w:top w:val="nil"/>
              <w:left w:val="nil"/>
              <w:bottom w:val="nil"/>
              <w:right w:val="nil"/>
            </w:tcBorders>
          </w:tcPr>
          <w:p w:rsidR="00C55EB7" w:rsidRPr="00295910" w:rsidRDefault="00C55EB7" w:rsidP="00F95BC3">
            <w:pPr>
              <w:spacing w:after="120"/>
              <w:rPr>
                <w:b/>
              </w:rPr>
            </w:pPr>
          </w:p>
        </w:tc>
        <w:tc>
          <w:tcPr>
            <w:tcW w:w="980" w:type="dxa"/>
            <w:tcBorders>
              <w:top w:val="single" w:sz="4" w:space="0" w:color="BFBFBF" w:themeColor="background1" w:themeShade="BF"/>
              <w:left w:val="nil"/>
              <w:bottom w:val="single" w:sz="4" w:space="0" w:color="auto"/>
              <w:right w:val="nil"/>
            </w:tcBorders>
          </w:tcPr>
          <w:p w:rsidR="00C55EB7" w:rsidRPr="00295910" w:rsidRDefault="00C55EB7" w:rsidP="00F95BC3">
            <w:pPr>
              <w:spacing w:after="120"/>
              <w:rPr>
                <w:b/>
              </w:rPr>
            </w:pPr>
            <w:r w:rsidRPr="00295910">
              <w:rPr>
                <w:b/>
              </w:rPr>
              <w:t>400</w:t>
            </w:r>
          </w:p>
        </w:tc>
        <w:tc>
          <w:tcPr>
            <w:tcW w:w="232" w:type="dxa"/>
            <w:tcBorders>
              <w:top w:val="nil"/>
              <w:left w:val="nil"/>
              <w:bottom w:val="nil"/>
              <w:right w:val="nil"/>
            </w:tcBorders>
          </w:tcPr>
          <w:p w:rsidR="00C55EB7" w:rsidRPr="00295910" w:rsidRDefault="00C55EB7" w:rsidP="00F95BC3">
            <w:pPr>
              <w:spacing w:after="120"/>
              <w:rPr>
                <w:b/>
              </w:rPr>
            </w:pPr>
          </w:p>
        </w:tc>
        <w:tc>
          <w:tcPr>
            <w:tcW w:w="980" w:type="dxa"/>
            <w:tcBorders>
              <w:top w:val="single" w:sz="4" w:space="0" w:color="BFBFBF" w:themeColor="background1" w:themeShade="BF"/>
              <w:left w:val="nil"/>
              <w:bottom w:val="single" w:sz="4" w:space="0" w:color="auto"/>
              <w:right w:val="nil"/>
            </w:tcBorders>
          </w:tcPr>
          <w:p w:rsidR="00C55EB7" w:rsidRPr="00295910" w:rsidRDefault="00C55EB7" w:rsidP="00F95BC3">
            <w:pPr>
              <w:spacing w:after="120"/>
              <w:rPr>
                <w:b/>
              </w:rPr>
            </w:pPr>
            <w:r w:rsidRPr="00295910">
              <w:rPr>
                <w:b/>
              </w:rPr>
              <w:t>0</w:t>
            </w:r>
          </w:p>
        </w:tc>
        <w:tc>
          <w:tcPr>
            <w:tcW w:w="236" w:type="dxa"/>
            <w:tcBorders>
              <w:top w:val="nil"/>
              <w:left w:val="nil"/>
              <w:bottom w:val="nil"/>
              <w:right w:val="nil"/>
            </w:tcBorders>
          </w:tcPr>
          <w:p w:rsidR="00C55EB7" w:rsidRPr="00295910" w:rsidRDefault="00C55EB7" w:rsidP="00F95BC3">
            <w:pPr>
              <w:spacing w:after="120"/>
              <w:rPr>
                <w:b/>
              </w:rPr>
            </w:pPr>
          </w:p>
        </w:tc>
        <w:tc>
          <w:tcPr>
            <w:tcW w:w="980" w:type="dxa"/>
            <w:tcBorders>
              <w:top w:val="single" w:sz="4" w:space="0" w:color="BFBFBF" w:themeColor="background1" w:themeShade="BF"/>
              <w:left w:val="nil"/>
              <w:bottom w:val="single" w:sz="4" w:space="0" w:color="auto"/>
              <w:right w:val="nil"/>
            </w:tcBorders>
          </w:tcPr>
          <w:p w:rsidR="00C55EB7" w:rsidRPr="00295910" w:rsidRDefault="00C55EB7" w:rsidP="00F95BC3">
            <w:pPr>
              <w:spacing w:after="120"/>
              <w:rPr>
                <w:b/>
              </w:rPr>
            </w:pPr>
            <w:r w:rsidRPr="00295910">
              <w:rPr>
                <w:b/>
              </w:rPr>
              <w:t>0</w:t>
            </w:r>
          </w:p>
        </w:tc>
      </w:tr>
      <w:tr w:rsidR="00C55EB7" w:rsidRPr="00295910" w:rsidTr="00F95BC3">
        <w:trPr>
          <w:trHeight w:val="117"/>
        </w:trPr>
        <w:tc>
          <w:tcPr>
            <w:tcW w:w="3142" w:type="dxa"/>
            <w:tcBorders>
              <w:top w:val="single" w:sz="4" w:space="0" w:color="auto"/>
              <w:left w:val="nil"/>
              <w:bottom w:val="single" w:sz="4" w:space="0" w:color="auto"/>
              <w:right w:val="nil"/>
            </w:tcBorders>
          </w:tcPr>
          <w:p w:rsidR="00C55EB7" w:rsidRPr="00295910" w:rsidRDefault="00C55EB7" w:rsidP="00F95BC3">
            <w:pPr>
              <w:rPr>
                <w:b/>
              </w:rPr>
            </w:pPr>
            <w:r w:rsidRPr="00295910">
              <w:rPr>
                <w:b/>
              </w:rPr>
              <w:t>Operational Costs of Project</w:t>
            </w:r>
          </w:p>
        </w:tc>
        <w:tc>
          <w:tcPr>
            <w:tcW w:w="234" w:type="dxa"/>
            <w:tcBorders>
              <w:top w:val="nil"/>
              <w:left w:val="nil"/>
              <w:bottom w:val="nil"/>
              <w:right w:val="nil"/>
            </w:tcBorders>
          </w:tcPr>
          <w:p w:rsidR="00C55EB7" w:rsidRPr="00295910" w:rsidRDefault="00C55EB7" w:rsidP="00F95BC3">
            <w:pPr>
              <w:rPr>
                <w:sz w:val="8"/>
                <w:szCs w:val="8"/>
              </w:rPr>
            </w:pPr>
          </w:p>
        </w:tc>
        <w:tc>
          <w:tcPr>
            <w:tcW w:w="980" w:type="dxa"/>
            <w:tcBorders>
              <w:top w:val="single" w:sz="4" w:space="0" w:color="auto"/>
              <w:left w:val="nil"/>
              <w:bottom w:val="single" w:sz="4" w:space="0" w:color="auto"/>
              <w:right w:val="nil"/>
            </w:tcBorders>
          </w:tcPr>
          <w:p w:rsidR="00C55EB7" w:rsidRPr="00295910" w:rsidRDefault="00C55EB7" w:rsidP="00F95BC3">
            <w:pPr>
              <w:rPr>
                <w:b/>
              </w:rPr>
            </w:pPr>
            <w:r w:rsidRPr="00295910">
              <w:rPr>
                <w:b/>
              </w:rPr>
              <w:t>2015/16</w:t>
            </w:r>
          </w:p>
          <w:p w:rsidR="00C55EB7" w:rsidRPr="00295910" w:rsidRDefault="00C55EB7" w:rsidP="00F95BC3">
            <w:pPr>
              <w:rPr>
                <w:b/>
              </w:rPr>
            </w:pPr>
            <w:r w:rsidRPr="00295910">
              <w:rPr>
                <w:b/>
              </w:rPr>
              <w:t>(£000)</w:t>
            </w:r>
          </w:p>
        </w:tc>
        <w:tc>
          <w:tcPr>
            <w:tcW w:w="232" w:type="dxa"/>
            <w:tcBorders>
              <w:top w:val="nil"/>
              <w:left w:val="nil"/>
              <w:bottom w:val="nil"/>
              <w:right w:val="nil"/>
            </w:tcBorders>
          </w:tcPr>
          <w:p w:rsidR="00C55EB7" w:rsidRPr="00295910" w:rsidRDefault="00C55EB7" w:rsidP="00F95BC3">
            <w:pPr>
              <w:rPr>
                <w:b/>
              </w:rPr>
            </w:pPr>
          </w:p>
        </w:tc>
        <w:tc>
          <w:tcPr>
            <w:tcW w:w="980" w:type="dxa"/>
            <w:tcBorders>
              <w:top w:val="single" w:sz="4" w:space="0" w:color="auto"/>
              <w:left w:val="nil"/>
              <w:bottom w:val="single" w:sz="4" w:space="0" w:color="auto"/>
              <w:right w:val="nil"/>
            </w:tcBorders>
          </w:tcPr>
          <w:p w:rsidR="00C55EB7" w:rsidRPr="00295910" w:rsidRDefault="00C55EB7" w:rsidP="00F95BC3">
            <w:pPr>
              <w:rPr>
                <w:b/>
              </w:rPr>
            </w:pPr>
            <w:r w:rsidRPr="00295910">
              <w:rPr>
                <w:b/>
              </w:rPr>
              <w:t>2016/17</w:t>
            </w:r>
          </w:p>
          <w:p w:rsidR="00C55EB7" w:rsidRPr="00295910" w:rsidRDefault="00C55EB7" w:rsidP="00F95BC3">
            <w:pPr>
              <w:rPr>
                <w:b/>
              </w:rPr>
            </w:pPr>
            <w:r w:rsidRPr="00295910">
              <w:rPr>
                <w:b/>
              </w:rPr>
              <w:t>(£000)</w:t>
            </w:r>
          </w:p>
        </w:tc>
        <w:tc>
          <w:tcPr>
            <w:tcW w:w="266" w:type="dxa"/>
            <w:tcBorders>
              <w:top w:val="nil"/>
              <w:left w:val="nil"/>
              <w:bottom w:val="nil"/>
              <w:right w:val="nil"/>
            </w:tcBorders>
          </w:tcPr>
          <w:p w:rsidR="00C55EB7" w:rsidRPr="00295910" w:rsidRDefault="00C55EB7" w:rsidP="00F95BC3">
            <w:pPr>
              <w:rPr>
                <w:b/>
              </w:rPr>
            </w:pPr>
          </w:p>
        </w:tc>
        <w:tc>
          <w:tcPr>
            <w:tcW w:w="980" w:type="dxa"/>
            <w:tcBorders>
              <w:top w:val="single" w:sz="4" w:space="0" w:color="auto"/>
              <w:left w:val="nil"/>
              <w:bottom w:val="single" w:sz="4" w:space="0" w:color="auto"/>
              <w:right w:val="nil"/>
            </w:tcBorders>
          </w:tcPr>
          <w:p w:rsidR="00C55EB7" w:rsidRPr="00295910" w:rsidRDefault="00C55EB7" w:rsidP="00F95BC3">
            <w:pPr>
              <w:rPr>
                <w:b/>
              </w:rPr>
            </w:pPr>
            <w:r w:rsidRPr="00295910">
              <w:rPr>
                <w:b/>
              </w:rPr>
              <w:t>2017/18</w:t>
            </w:r>
          </w:p>
          <w:p w:rsidR="00C55EB7" w:rsidRPr="00295910" w:rsidRDefault="00C55EB7" w:rsidP="00F95BC3">
            <w:pPr>
              <w:rPr>
                <w:b/>
              </w:rPr>
            </w:pPr>
            <w:r w:rsidRPr="00295910">
              <w:rPr>
                <w:b/>
              </w:rPr>
              <w:t>(£000)</w:t>
            </w:r>
          </w:p>
        </w:tc>
        <w:tc>
          <w:tcPr>
            <w:tcW w:w="232" w:type="dxa"/>
            <w:tcBorders>
              <w:top w:val="nil"/>
              <w:left w:val="nil"/>
              <w:bottom w:val="nil"/>
              <w:right w:val="nil"/>
            </w:tcBorders>
          </w:tcPr>
          <w:p w:rsidR="00C55EB7" w:rsidRPr="00295910" w:rsidRDefault="00C55EB7" w:rsidP="00F95BC3">
            <w:pPr>
              <w:rPr>
                <w:b/>
              </w:rPr>
            </w:pPr>
          </w:p>
        </w:tc>
        <w:tc>
          <w:tcPr>
            <w:tcW w:w="980" w:type="dxa"/>
            <w:tcBorders>
              <w:top w:val="single" w:sz="4" w:space="0" w:color="auto"/>
              <w:left w:val="nil"/>
              <w:bottom w:val="single" w:sz="4" w:space="0" w:color="auto"/>
              <w:right w:val="nil"/>
            </w:tcBorders>
          </w:tcPr>
          <w:p w:rsidR="00C55EB7" w:rsidRPr="00295910" w:rsidRDefault="00C55EB7" w:rsidP="00F95BC3">
            <w:pPr>
              <w:rPr>
                <w:b/>
              </w:rPr>
            </w:pPr>
            <w:r w:rsidRPr="00295910">
              <w:rPr>
                <w:b/>
              </w:rPr>
              <w:t>2018/19 (£000)</w:t>
            </w:r>
          </w:p>
        </w:tc>
        <w:tc>
          <w:tcPr>
            <w:tcW w:w="236" w:type="dxa"/>
            <w:tcBorders>
              <w:top w:val="nil"/>
              <w:left w:val="nil"/>
              <w:bottom w:val="nil"/>
              <w:right w:val="nil"/>
            </w:tcBorders>
          </w:tcPr>
          <w:p w:rsidR="00C55EB7" w:rsidRPr="00295910" w:rsidRDefault="00C55EB7" w:rsidP="00F95BC3">
            <w:pPr>
              <w:rPr>
                <w:b/>
              </w:rPr>
            </w:pPr>
          </w:p>
        </w:tc>
        <w:tc>
          <w:tcPr>
            <w:tcW w:w="980" w:type="dxa"/>
            <w:tcBorders>
              <w:top w:val="single" w:sz="4" w:space="0" w:color="auto"/>
              <w:left w:val="nil"/>
              <w:bottom w:val="single" w:sz="4" w:space="0" w:color="auto"/>
              <w:right w:val="nil"/>
            </w:tcBorders>
          </w:tcPr>
          <w:p w:rsidR="00C55EB7" w:rsidRPr="00295910" w:rsidRDefault="00C55EB7" w:rsidP="00F95BC3">
            <w:pPr>
              <w:rPr>
                <w:b/>
              </w:rPr>
            </w:pPr>
            <w:r w:rsidRPr="00295910">
              <w:rPr>
                <w:b/>
              </w:rPr>
              <w:t>2019/20 (£000)</w:t>
            </w:r>
          </w:p>
        </w:tc>
      </w:tr>
      <w:tr w:rsidR="00C55EB7" w:rsidRPr="00295910" w:rsidTr="00F95BC3">
        <w:tc>
          <w:tcPr>
            <w:tcW w:w="3142" w:type="dxa"/>
            <w:tcBorders>
              <w:top w:val="single" w:sz="4" w:space="0" w:color="BFBFBF" w:themeColor="background1" w:themeShade="BF"/>
              <w:left w:val="nil"/>
              <w:bottom w:val="single" w:sz="4" w:space="0" w:color="A6A6A6" w:themeColor="background1" w:themeShade="A6"/>
              <w:right w:val="nil"/>
            </w:tcBorders>
          </w:tcPr>
          <w:p w:rsidR="00C55EB7" w:rsidRPr="00295910" w:rsidRDefault="00C55EB7" w:rsidP="00F95BC3">
            <w:pPr>
              <w:spacing w:after="120"/>
            </w:pPr>
            <w:r w:rsidRPr="00295910">
              <w:t>Efficiencies</w:t>
            </w:r>
          </w:p>
        </w:tc>
        <w:tc>
          <w:tcPr>
            <w:tcW w:w="234"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295910" w:rsidRDefault="00C55EB7" w:rsidP="00F95BC3">
            <w:pPr>
              <w:spacing w:after="120"/>
            </w:pPr>
            <w:r w:rsidRPr="00295910">
              <w:t>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295910" w:rsidRDefault="00C55EB7" w:rsidP="00F95BC3">
            <w:pPr>
              <w:spacing w:after="120"/>
            </w:pPr>
            <w:r w:rsidRPr="00295910">
              <w:t>0</w:t>
            </w:r>
          </w:p>
        </w:tc>
        <w:tc>
          <w:tcPr>
            <w:tcW w:w="266"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295910" w:rsidRDefault="00C55EB7" w:rsidP="00F95BC3">
            <w:pPr>
              <w:spacing w:after="120"/>
            </w:pPr>
            <w:r w:rsidRPr="00295910">
              <w:t>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295910" w:rsidRDefault="00C55EB7" w:rsidP="00F95BC3">
            <w:pPr>
              <w:spacing w:after="120"/>
            </w:pPr>
            <w:r w:rsidRPr="00295910">
              <w:t>0</w:t>
            </w:r>
          </w:p>
        </w:tc>
        <w:tc>
          <w:tcPr>
            <w:tcW w:w="236"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BFBFBF" w:themeColor="background1" w:themeShade="BF"/>
              <w:left w:val="nil"/>
              <w:bottom w:val="single" w:sz="4" w:space="0" w:color="A6A6A6" w:themeColor="background1" w:themeShade="A6"/>
              <w:right w:val="nil"/>
            </w:tcBorders>
          </w:tcPr>
          <w:p w:rsidR="00C55EB7" w:rsidRPr="00295910" w:rsidRDefault="00C55EB7" w:rsidP="00F95BC3">
            <w:pPr>
              <w:spacing w:after="120"/>
            </w:pPr>
            <w:r w:rsidRPr="00295910">
              <w:t>0</w:t>
            </w:r>
          </w:p>
        </w:tc>
      </w:tr>
      <w:tr w:rsidR="00C55EB7" w:rsidRPr="00295910" w:rsidTr="00F95BC3">
        <w:tc>
          <w:tcPr>
            <w:tcW w:w="3142" w:type="dxa"/>
            <w:tcBorders>
              <w:top w:val="single" w:sz="4" w:space="0" w:color="A6A6A6" w:themeColor="background1" w:themeShade="A6"/>
              <w:left w:val="nil"/>
              <w:right w:val="nil"/>
            </w:tcBorders>
          </w:tcPr>
          <w:p w:rsidR="00C55EB7" w:rsidRPr="00295910" w:rsidRDefault="00C55EB7" w:rsidP="00F95BC3">
            <w:pPr>
              <w:spacing w:after="120"/>
              <w:rPr>
                <w:sz w:val="8"/>
                <w:szCs w:val="8"/>
              </w:rPr>
            </w:pPr>
            <w:r w:rsidRPr="00295910">
              <w:t>Depreciation Charge</w:t>
            </w:r>
            <w:r w:rsidRPr="00295910">
              <w:rPr>
                <w:sz w:val="16"/>
                <w:szCs w:val="16"/>
              </w:rPr>
              <w:t>*</w:t>
            </w:r>
            <w:r w:rsidRPr="00295910">
              <w:t xml:space="preserve"> (Central)</w:t>
            </w:r>
          </w:p>
        </w:tc>
        <w:tc>
          <w:tcPr>
            <w:tcW w:w="234" w:type="dxa"/>
            <w:tcBorders>
              <w:top w:val="nil"/>
              <w:left w:val="nil"/>
              <w:bottom w:val="nil"/>
              <w:right w:val="nil"/>
            </w:tcBorders>
          </w:tcPr>
          <w:p w:rsidR="00C55EB7" w:rsidRPr="00295910" w:rsidRDefault="00C55EB7" w:rsidP="00F95BC3">
            <w:pPr>
              <w:spacing w:after="120"/>
              <w:rPr>
                <w:sz w:val="8"/>
                <w:szCs w:val="8"/>
              </w:rPr>
            </w:pPr>
          </w:p>
        </w:tc>
        <w:tc>
          <w:tcPr>
            <w:tcW w:w="980" w:type="dxa"/>
            <w:tcBorders>
              <w:top w:val="single" w:sz="4" w:space="0" w:color="A6A6A6" w:themeColor="background1" w:themeShade="A6"/>
              <w:left w:val="nil"/>
              <w:right w:val="nil"/>
            </w:tcBorders>
          </w:tcPr>
          <w:p w:rsidR="00C55EB7" w:rsidRPr="00295910" w:rsidRDefault="00C55EB7" w:rsidP="00F95BC3">
            <w:pPr>
              <w:spacing w:after="120"/>
            </w:pPr>
            <w:r w:rsidRPr="00295910">
              <w:t>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A6A6A6" w:themeColor="background1" w:themeShade="A6"/>
              <w:left w:val="nil"/>
              <w:right w:val="nil"/>
            </w:tcBorders>
          </w:tcPr>
          <w:p w:rsidR="00C55EB7" w:rsidRPr="00295910" w:rsidRDefault="00C55EB7" w:rsidP="00F95BC3">
            <w:pPr>
              <w:spacing w:after="120"/>
            </w:pPr>
            <w:r w:rsidRPr="00295910">
              <w:t>0</w:t>
            </w:r>
          </w:p>
        </w:tc>
        <w:tc>
          <w:tcPr>
            <w:tcW w:w="266"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A6A6A6" w:themeColor="background1" w:themeShade="A6"/>
              <w:left w:val="nil"/>
              <w:right w:val="nil"/>
            </w:tcBorders>
          </w:tcPr>
          <w:p w:rsidR="00C55EB7" w:rsidRPr="00295910" w:rsidRDefault="00C55EB7" w:rsidP="00F95BC3">
            <w:pPr>
              <w:spacing w:after="120"/>
            </w:pPr>
            <w:r w:rsidRPr="00295910">
              <w:t>50</w:t>
            </w:r>
          </w:p>
        </w:tc>
        <w:tc>
          <w:tcPr>
            <w:tcW w:w="232"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A6A6A6" w:themeColor="background1" w:themeShade="A6"/>
              <w:left w:val="nil"/>
              <w:right w:val="nil"/>
            </w:tcBorders>
          </w:tcPr>
          <w:p w:rsidR="00C55EB7" w:rsidRPr="00295910" w:rsidRDefault="00C55EB7" w:rsidP="00F95BC3">
            <w:pPr>
              <w:spacing w:after="120"/>
            </w:pPr>
            <w:r w:rsidRPr="00295910">
              <w:t>150</w:t>
            </w:r>
          </w:p>
        </w:tc>
        <w:tc>
          <w:tcPr>
            <w:tcW w:w="236" w:type="dxa"/>
            <w:tcBorders>
              <w:top w:val="nil"/>
              <w:left w:val="nil"/>
              <w:bottom w:val="nil"/>
              <w:right w:val="nil"/>
            </w:tcBorders>
          </w:tcPr>
          <w:p w:rsidR="00C55EB7" w:rsidRPr="00295910" w:rsidRDefault="00C55EB7" w:rsidP="00F95BC3">
            <w:pPr>
              <w:spacing w:after="120"/>
            </w:pPr>
          </w:p>
        </w:tc>
        <w:tc>
          <w:tcPr>
            <w:tcW w:w="980" w:type="dxa"/>
            <w:tcBorders>
              <w:top w:val="single" w:sz="4" w:space="0" w:color="A6A6A6" w:themeColor="background1" w:themeShade="A6"/>
              <w:left w:val="nil"/>
              <w:right w:val="nil"/>
            </w:tcBorders>
          </w:tcPr>
          <w:p w:rsidR="00C55EB7" w:rsidRPr="00295910" w:rsidRDefault="00C55EB7" w:rsidP="00F95BC3">
            <w:pPr>
              <w:spacing w:after="120"/>
            </w:pPr>
            <w:r w:rsidRPr="00295910">
              <w:t>150</w:t>
            </w:r>
          </w:p>
        </w:tc>
      </w:tr>
    </w:tbl>
    <w:p w:rsidR="00C55EB7" w:rsidRPr="00295910" w:rsidRDefault="00C55EB7" w:rsidP="00C55EB7">
      <w:pPr>
        <w:spacing w:after="120"/>
        <w:rPr>
          <w:sz w:val="16"/>
          <w:szCs w:val="16"/>
        </w:rPr>
      </w:pPr>
      <w:r w:rsidRPr="00295910">
        <w:rPr>
          <w:sz w:val="16"/>
          <w:szCs w:val="16"/>
        </w:rPr>
        <w:t xml:space="preserve">* Remaining </w:t>
      </w:r>
      <w:proofErr w:type="spellStart"/>
      <w:r w:rsidRPr="00295910">
        <w:rPr>
          <w:sz w:val="16"/>
          <w:szCs w:val="16"/>
        </w:rPr>
        <w:t>dep’n</w:t>
      </w:r>
      <w:proofErr w:type="spellEnd"/>
      <w:r w:rsidRPr="00295910">
        <w:rPr>
          <w:sz w:val="16"/>
          <w:szCs w:val="16"/>
        </w:rPr>
        <w:t xml:space="preserve"> charge for the period 2020/21 to 2021/22 is £250k</w:t>
      </w:r>
    </w:p>
    <w:p w:rsidR="00C55EB7" w:rsidRPr="00295910" w:rsidRDefault="00C55EB7" w:rsidP="00C55EB7">
      <w:pPr>
        <w:spacing w:after="12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C55EB7" w:rsidRPr="00295910" w:rsidTr="00F95BC3">
        <w:tc>
          <w:tcPr>
            <w:tcW w:w="1985" w:type="dxa"/>
            <w:tcBorders>
              <w:top w:val="single" w:sz="4" w:space="0" w:color="auto"/>
              <w:left w:val="single" w:sz="4" w:space="0" w:color="auto"/>
              <w:bottom w:val="single" w:sz="4" w:space="0" w:color="auto"/>
              <w:right w:val="nil"/>
            </w:tcBorders>
          </w:tcPr>
          <w:p w:rsidR="00C55EB7" w:rsidRPr="00295910" w:rsidRDefault="00C55EB7" w:rsidP="00F95BC3">
            <w:pPr>
              <w:rPr>
                <w:b/>
              </w:rPr>
            </w:pPr>
            <w:r w:rsidRPr="00295910">
              <w:rPr>
                <w:b/>
              </w:rPr>
              <w:t>Cost Category</w:t>
            </w:r>
          </w:p>
        </w:tc>
        <w:tc>
          <w:tcPr>
            <w:tcW w:w="2410" w:type="dxa"/>
            <w:tcBorders>
              <w:top w:val="single" w:sz="4" w:space="0" w:color="auto"/>
              <w:left w:val="nil"/>
              <w:bottom w:val="single" w:sz="4" w:space="0" w:color="auto"/>
              <w:right w:val="single" w:sz="4" w:space="0" w:color="auto"/>
            </w:tcBorders>
          </w:tcPr>
          <w:p w:rsidR="00C55EB7" w:rsidRPr="00295910" w:rsidRDefault="00C55EB7" w:rsidP="00F95BC3">
            <w:pPr>
              <w:rPr>
                <w:b/>
              </w:rPr>
            </w:pPr>
            <w:r w:rsidRPr="00295910">
              <w:rPr>
                <w:b/>
              </w:rPr>
              <w:t>Confidence</w:t>
            </w:r>
          </w:p>
        </w:tc>
      </w:tr>
      <w:tr w:rsidR="00C55EB7" w:rsidRPr="00295910" w:rsidTr="00F95BC3">
        <w:tc>
          <w:tcPr>
            <w:tcW w:w="1985" w:type="dxa"/>
            <w:tcBorders>
              <w:top w:val="single" w:sz="4" w:space="0" w:color="auto"/>
              <w:left w:val="single" w:sz="4" w:space="0" w:color="auto"/>
              <w:bottom w:val="single" w:sz="4" w:space="0" w:color="BFBFBF" w:themeColor="background1" w:themeShade="BF"/>
              <w:right w:val="nil"/>
            </w:tcBorders>
          </w:tcPr>
          <w:p w:rsidR="00C55EB7" w:rsidRPr="00295910" w:rsidRDefault="00C55EB7" w:rsidP="00F95BC3">
            <w:r w:rsidRPr="00295910">
              <w:t>Project costs</w:t>
            </w:r>
          </w:p>
        </w:tc>
        <w:tc>
          <w:tcPr>
            <w:tcW w:w="2410" w:type="dxa"/>
            <w:tcBorders>
              <w:top w:val="single" w:sz="4" w:space="0" w:color="auto"/>
              <w:left w:val="nil"/>
              <w:bottom w:val="single" w:sz="4" w:space="0" w:color="BFBFBF" w:themeColor="background1" w:themeShade="BF"/>
              <w:right w:val="single" w:sz="4" w:space="0" w:color="auto"/>
            </w:tcBorders>
          </w:tcPr>
          <w:p w:rsidR="00C55EB7" w:rsidRPr="00295910" w:rsidRDefault="00C55EB7" w:rsidP="00F95BC3">
            <w:pPr>
              <w:tabs>
                <w:tab w:val="clear" w:pos="720"/>
                <w:tab w:val="right" w:pos="2194"/>
              </w:tabs>
            </w:pPr>
            <w:r w:rsidRPr="00295910">
              <w:t>Low</w:t>
            </w:r>
          </w:p>
        </w:tc>
      </w:tr>
      <w:tr w:rsidR="00C55EB7" w:rsidRPr="00295910" w:rsidTr="00F95BC3">
        <w:tc>
          <w:tcPr>
            <w:tcW w:w="1985" w:type="dxa"/>
            <w:tcBorders>
              <w:top w:val="single" w:sz="4" w:space="0" w:color="BFBFBF" w:themeColor="background1" w:themeShade="BF"/>
              <w:left w:val="single" w:sz="4" w:space="0" w:color="auto"/>
              <w:bottom w:val="single" w:sz="4" w:space="0" w:color="auto"/>
              <w:right w:val="nil"/>
            </w:tcBorders>
          </w:tcPr>
          <w:p w:rsidR="00C55EB7" w:rsidRPr="00295910" w:rsidRDefault="00C55EB7" w:rsidP="00F95BC3">
            <w:r w:rsidRPr="00295910">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C55EB7" w:rsidRPr="00295910" w:rsidRDefault="00C55EB7" w:rsidP="00F95BC3">
            <w:r w:rsidRPr="00295910">
              <w:t>Medium</w:t>
            </w:r>
          </w:p>
        </w:tc>
      </w:tr>
    </w:tbl>
    <w:p w:rsidR="00C55EB7" w:rsidRPr="00295910" w:rsidRDefault="00C55EB7" w:rsidP="00C55EB7">
      <w:pPr>
        <w:spacing w:after="120"/>
        <w:rPr>
          <w:sz w:val="16"/>
          <w:szCs w:val="16"/>
        </w:rPr>
      </w:pPr>
    </w:p>
    <w:p w:rsidR="00C55EB7" w:rsidRPr="00295910" w:rsidRDefault="00C55EB7" w:rsidP="00C55EB7">
      <w:pPr>
        <w:tabs>
          <w:tab w:val="clear" w:pos="720"/>
        </w:tabs>
        <w:suppressAutoHyphens w:val="0"/>
        <w:rPr>
          <w:rFonts w:asciiTheme="minorHAnsi" w:eastAsiaTheme="minorHAnsi" w:hAnsiTheme="minorHAnsi" w:cstheme="minorBidi"/>
          <w:color w:val="auto"/>
        </w:rPr>
      </w:pPr>
    </w:p>
    <w:p w:rsidR="00C55EB7" w:rsidRDefault="00C55EB7" w:rsidP="00424C1D"/>
    <w:p w:rsidR="004837F5" w:rsidRDefault="004837F5">
      <w:pPr>
        <w:tabs>
          <w:tab w:val="clear" w:pos="720"/>
        </w:tabs>
        <w:suppressAutoHyphens w:val="0"/>
      </w:pPr>
      <w:r>
        <w:br w:type="page"/>
      </w:r>
    </w:p>
    <w:p w:rsidR="004837F5" w:rsidRDefault="004837F5" w:rsidP="004837F5">
      <w:pPr>
        <w:pStyle w:val="Heading4"/>
      </w:pPr>
      <w:r>
        <w:lastRenderedPageBreak/>
        <w:t>Project: D</w:t>
      </w:r>
      <w:r w:rsidRPr="00B77E8C">
        <w:t>ata-centre networking resilience</w:t>
      </w:r>
      <w:r>
        <w:t xml:space="preserve"> (Grow)</w:t>
      </w:r>
    </w:p>
    <w:p w:rsidR="004837F5" w:rsidRDefault="004837F5" w:rsidP="004837F5">
      <w:pPr>
        <w:pStyle w:val="Textbody"/>
        <w:spacing w:after="0"/>
      </w:pPr>
      <w:r>
        <w:rPr>
          <w:b/>
          <w:sz w:val="20"/>
          <w:szCs w:val="20"/>
        </w:rPr>
        <w:t xml:space="preserve">Infrastructure Category:  </w:t>
      </w:r>
      <w:r w:rsidRPr="002B6C46">
        <w:rPr>
          <w:b/>
          <w:sz w:val="20"/>
          <w:szCs w:val="20"/>
        </w:rPr>
        <w:t>Network</w:t>
      </w:r>
    </w:p>
    <w:p w:rsidR="004837F5" w:rsidRDefault="004837F5" w:rsidP="004837F5">
      <w:pPr>
        <w:pStyle w:val="Textbody"/>
        <w:spacing w:after="0"/>
      </w:pPr>
      <w:r>
        <w:t>The demand for resilient services that do not have single points of failure is steadily increasing. We need to adopt new approaches to deliver the desired levels of service.</w:t>
      </w:r>
    </w:p>
    <w:p w:rsidR="004837F5" w:rsidRDefault="004837F5" w:rsidP="004837F5">
      <w:pPr>
        <w:pStyle w:val="Textbody"/>
        <w:spacing w:after="0"/>
      </w:pPr>
    </w:p>
    <w:tbl>
      <w:tblPr>
        <w:tblW w:w="0" w:type="auto"/>
        <w:tblInd w:w="103"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837F5" w:rsidTr="00F95BC3">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837F5" w:rsidRPr="002047EB" w:rsidRDefault="004837F5" w:rsidP="00F95BC3">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837F5" w:rsidRDefault="004837F5" w:rsidP="00F95BC3">
            <w:pPr>
              <w:pStyle w:val="TableContents"/>
              <w:spacing w:after="120"/>
            </w:pPr>
          </w:p>
        </w:tc>
      </w:tr>
      <w:tr w:rsidR="004837F5"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837F5" w:rsidRPr="002047EB" w:rsidRDefault="004837F5" w:rsidP="00F95BC3">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837F5" w:rsidRDefault="004837F5" w:rsidP="00F95BC3">
            <w:pPr>
              <w:pStyle w:val="TableContents"/>
              <w:spacing w:after="120"/>
            </w:pPr>
            <w:r w:rsidRPr="00076921">
              <w:rPr>
                <w:bCs/>
                <w:i/>
              </w:rPr>
              <w:t>Infrastructure</w:t>
            </w:r>
            <w:r w:rsidRPr="00076921">
              <w:rPr>
                <w:bCs/>
              </w:rPr>
              <w:t>: Infrastructure Power and Resilience</w:t>
            </w:r>
          </w:p>
        </w:tc>
      </w:tr>
      <w:tr w:rsidR="004837F5" w:rsidTr="00F95BC3">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837F5" w:rsidRPr="002047EB" w:rsidRDefault="004837F5" w:rsidP="00F95BC3">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837F5" w:rsidRDefault="004837F5" w:rsidP="00F95BC3">
            <w:pPr>
              <w:pStyle w:val="TableContents"/>
              <w:spacing w:after="120"/>
            </w:pPr>
          </w:p>
        </w:tc>
      </w:tr>
    </w:tbl>
    <w:p w:rsidR="004837F5" w:rsidRDefault="004837F5" w:rsidP="004837F5">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837F5" w:rsidTr="00F95BC3">
        <w:tc>
          <w:tcPr>
            <w:tcW w:w="3142" w:type="dxa"/>
            <w:tcBorders>
              <w:left w:val="nil"/>
              <w:right w:val="nil"/>
            </w:tcBorders>
          </w:tcPr>
          <w:p w:rsidR="004837F5" w:rsidRDefault="004837F5" w:rsidP="00F95BC3">
            <w:pPr>
              <w:pStyle w:val="Textbody"/>
              <w:spacing w:after="0"/>
              <w:rPr>
                <w:b/>
              </w:rPr>
            </w:pPr>
            <w:r>
              <w:rPr>
                <w:b/>
              </w:rPr>
              <w:t>Data-centre networking resilience</w:t>
            </w:r>
          </w:p>
          <w:p w:rsidR="004837F5" w:rsidRPr="00AF40D6" w:rsidRDefault="004837F5" w:rsidP="00F95BC3">
            <w:pPr>
              <w:pStyle w:val="Textbody"/>
              <w:spacing w:after="0"/>
              <w:rPr>
                <w:b/>
              </w:rPr>
            </w:pPr>
            <w:r>
              <w:rPr>
                <w:b/>
              </w:rPr>
              <w:t>Project Expenditure</w:t>
            </w:r>
          </w:p>
        </w:tc>
        <w:tc>
          <w:tcPr>
            <w:tcW w:w="234" w:type="dxa"/>
            <w:tcBorders>
              <w:top w:val="nil"/>
              <w:left w:val="nil"/>
              <w:bottom w:val="nil"/>
              <w:right w:val="nil"/>
            </w:tcBorders>
          </w:tcPr>
          <w:p w:rsidR="004837F5" w:rsidRPr="00AF40D6" w:rsidRDefault="004837F5" w:rsidP="00F95BC3">
            <w:pPr>
              <w:pStyle w:val="Textbody"/>
              <w:spacing w:after="0"/>
              <w:rPr>
                <w:b/>
              </w:rPr>
            </w:pPr>
          </w:p>
        </w:tc>
        <w:tc>
          <w:tcPr>
            <w:tcW w:w="980" w:type="dxa"/>
            <w:tcBorders>
              <w:left w:val="nil"/>
              <w:right w:val="nil"/>
            </w:tcBorders>
          </w:tcPr>
          <w:p w:rsidR="004837F5" w:rsidRPr="00AF40D6" w:rsidRDefault="004837F5" w:rsidP="00F95BC3">
            <w:pPr>
              <w:pStyle w:val="Textbody"/>
              <w:spacing w:after="0"/>
              <w:rPr>
                <w:b/>
              </w:rPr>
            </w:pPr>
            <w:r w:rsidRPr="00AF40D6">
              <w:rPr>
                <w:b/>
              </w:rPr>
              <w:t>2015/16</w:t>
            </w:r>
          </w:p>
          <w:p w:rsidR="004837F5" w:rsidRPr="00AF40D6" w:rsidRDefault="004837F5" w:rsidP="00F95BC3">
            <w:pPr>
              <w:pStyle w:val="Textbody"/>
              <w:spacing w:after="0"/>
              <w:rPr>
                <w:b/>
              </w:rPr>
            </w:pPr>
            <w:r w:rsidRPr="00AF40D6">
              <w:rPr>
                <w:b/>
              </w:rPr>
              <w:t>(£000)</w:t>
            </w:r>
          </w:p>
        </w:tc>
        <w:tc>
          <w:tcPr>
            <w:tcW w:w="232" w:type="dxa"/>
            <w:tcBorders>
              <w:top w:val="nil"/>
              <w:left w:val="nil"/>
              <w:bottom w:val="nil"/>
              <w:right w:val="nil"/>
            </w:tcBorders>
          </w:tcPr>
          <w:p w:rsidR="004837F5" w:rsidRPr="00AF40D6" w:rsidRDefault="004837F5" w:rsidP="00F95BC3">
            <w:pPr>
              <w:pStyle w:val="Textbody"/>
              <w:spacing w:after="0"/>
              <w:rPr>
                <w:b/>
              </w:rPr>
            </w:pPr>
          </w:p>
        </w:tc>
        <w:tc>
          <w:tcPr>
            <w:tcW w:w="980" w:type="dxa"/>
            <w:tcBorders>
              <w:left w:val="nil"/>
              <w:right w:val="nil"/>
            </w:tcBorders>
          </w:tcPr>
          <w:p w:rsidR="004837F5" w:rsidRPr="00AF40D6" w:rsidRDefault="004837F5" w:rsidP="00F95BC3">
            <w:pPr>
              <w:pStyle w:val="Textbody"/>
              <w:spacing w:after="0"/>
              <w:rPr>
                <w:b/>
              </w:rPr>
            </w:pPr>
            <w:r w:rsidRPr="00AF40D6">
              <w:rPr>
                <w:b/>
              </w:rPr>
              <w:t>2016/17</w:t>
            </w:r>
          </w:p>
          <w:p w:rsidR="004837F5" w:rsidRPr="00AF40D6" w:rsidRDefault="004837F5" w:rsidP="00F95BC3">
            <w:pPr>
              <w:pStyle w:val="Textbody"/>
              <w:spacing w:after="0"/>
              <w:rPr>
                <w:b/>
              </w:rPr>
            </w:pPr>
            <w:r w:rsidRPr="00AF40D6">
              <w:rPr>
                <w:b/>
              </w:rPr>
              <w:t>(£000)</w:t>
            </w:r>
          </w:p>
        </w:tc>
        <w:tc>
          <w:tcPr>
            <w:tcW w:w="266" w:type="dxa"/>
            <w:tcBorders>
              <w:top w:val="nil"/>
              <w:left w:val="nil"/>
              <w:bottom w:val="nil"/>
              <w:right w:val="nil"/>
            </w:tcBorders>
          </w:tcPr>
          <w:p w:rsidR="004837F5" w:rsidRPr="00AF40D6" w:rsidRDefault="004837F5" w:rsidP="00F95BC3">
            <w:pPr>
              <w:pStyle w:val="Textbody"/>
              <w:spacing w:after="0"/>
              <w:rPr>
                <w:b/>
              </w:rPr>
            </w:pPr>
          </w:p>
        </w:tc>
        <w:tc>
          <w:tcPr>
            <w:tcW w:w="980" w:type="dxa"/>
            <w:tcBorders>
              <w:left w:val="nil"/>
              <w:right w:val="nil"/>
            </w:tcBorders>
          </w:tcPr>
          <w:p w:rsidR="004837F5" w:rsidRPr="00AF40D6" w:rsidRDefault="004837F5" w:rsidP="00F95BC3">
            <w:pPr>
              <w:pStyle w:val="Textbody"/>
              <w:spacing w:after="0"/>
              <w:rPr>
                <w:b/>
              </w:rPr>
            </w:pPr>
            <w:r w:rsidRPr="00AF40D6">
              <w:rPr>
                <w:b/>
              </w:rPr>
              <w:t>2017/18</w:t>
            </w:r>
          </w:p>
          <w:p w:rsidR="004837F5" w:rsidRPr="00AF40D6" w:rsidRDefault="004837F5" w:rsidP="00F95BC3">
            <w:pPr>
              <w:pStyle w:val="Textbody"/>
              <w:spacing w:after="0"/>
              <w:rPr>
                <w:b/>
              </w:rPr>
            </w:pPr>
            <w:r w:rsidRPr="00AF40D6">
              <w:rPr>
                <w:b/>
              </w:rPr>
              <w:t>(£000)</w:t>
            </w:r>
          </w:p>
        </w:tc>
        <w:tc>
          <w:tcPr>
            <w:tcW w:w="232" w:type="dxa"/>
            <w:tcBorders>
              <w:top w:val="nil"/>
              <w:left w:val="nil"/>
              <w:bottom w:val="nil"/>
              <w:right w:val="nil"/>
            </w:tcBorders>
          </w:tcPr>
          <w:p w:rsidR="004837F5" w:rsidRPr="00AF40D6" w:rsidRDefault="004837F5" w:rsidP="00F95BC3">
            <w:pPr>
              <w:pStyle w:val="Textbody"/>
              <w:spacing w:after="0"/>
              <w:rPr>
                <w:b/>
              </w:rPr>
            </w:pPr>
          </w:p>
        </w:tc>
        <w:tc>
          <w:tcPr>
            <w:tcW w:w="980" w:type="dxa"/>
            <w:tcBorders>
              <w:left w:val="nil"/>
              <w:right w:val="nil"/>
            </w:tcBorders>
          </w:tcPr>
          <w:p w:rsidR="004837F5" w:rsidRPr="00AF40D6" w:rsidRDefault="004837F5" w:rsidP="00F95BC3">
            <w:pPr>
              <w:pStyle w:val="Textbody"/>
              <w:spacing w:after="0"/>
              <w:rPr>
                <w:b/>
              </w:rPr>
            </w:pPr>
            <w:r w:rsidRPr="00AF40D6">
              <w:rPr>
                <w:b/>
              </w:rPr>
              <w:t>2018/19 (£000)</w:t>
            </w:r>
          </w:p>
        </w:tc>
        <w:tc>
          <w:tcPr>
            <w:tcW w:w="236" w:type="dxa"/>
            <w:tcBorders>
              <w:top w:val="nil"/>
              <w:left w:val="nil"/>
              <w:bottom w:val="nil"/>
              <w:right w:val="nil"/>
            </w:tcBorders>
          </w:tcPr>
          <w:p w:rsidR="004837F5" w:rsidRPr="00AF40D6" w:rsidRDefault="004837F5" w:rsidP="00F95BC3">
            <w:pPr>
              <w:pStyle w:val="Textbody"/>
              <w:spacing w:after="0"/>
              <w:rPr>
                <w:b/>
              </w:rPr>
            </w:pPr>
          </w:p>
        </w:tc>
        <w:tc>
          <w:tcPr>
            <w:tcW w:w="980" w:type="dxa"/>
            <w:tcBorders>
              <w:left w:val="nil"/>
              <w:right w:val="nil"/>
            </w:tcBorders>
          </w:tcPr>
          <w:p w:rsidR="004837F5" w:rsidRPr="00AF40D6" w:rsidRDefault="004837F5" w:rsidP="00F95BC3">
            <w:pPr>
              <w:pStyle w:val="Textbody"/>
              <w:spacing w:after="0"/>
              <w:rPr>
                <w:b/>
              </w:rPr>
            </w:pPr>
            <w:r w:rsidRPr="00AF40D6">
              <w:rPr>
                <w:b/>
              </w:rPr>
              <w:t>2019/20 (£000)</w:t>
            </w:r>
          </w:p>
        </w:tc>
      </w:tr>
      <w:tr w:rsidR="004837F5" w:rsidTr="00F95BC3">
        <w:tc>
          <w:tcPr>
            <w:tcW w:w="3142" w:type="dxa"/>
            <w:tcBorders>
              <w:left w:val="nil"/>
              <w:bottom w:val="single" w:sz="4" w:space="0" w:color="BFBFBF" w:themeColor="background1" w:themeShade="BF"/>
              <w:right w:val="nil"/>
            </w:tcBorders>
          </w:tcPr>
          <w:p w:rsidR="004837F5" w:rsidRPr="00AF40D6" w:rsidRDefault="004837F5" w:rsidP="00F95BC3">
            <w:pPr>
              <w:pStyle w:val="Textbody"/>
            </w:pPr>
            <w:r w:rsidRPr="00AF40D6">
              <w:t>Capital</w:t>
            </w:r>
            <w:r>
              <w:t xml:space="preserve"> project expenditure</w:t>
            </w:r>
          </w:p>
        </w:tc>
        <w:tc>
          <w:tcPr>
            <w:tcW w:w="234" w:type="dxa"/>
            <w:tcBorders>
              <w:top w:val="nil"/>
              <w:left w:val="nil"/>
              <w:bottom w:val="nil"/>
              <w:right w:val="nil"/>
            </w:tcBorders>
          </w:tcPr>
          <w:p w:rsidR="004837F5" w:rsidRPr="00AF40D6" w:rsidRDefault="004837F5" w:rsidP="00F95BC3">
            <w:pPr>
              <w:pStyle w:val="Textbody"/>
            </w:pPr>
          </w:p>
        </w:tc>
        <w:tc>
          <w:tcPr>
            <w:tcW w:w="980" w:type="dxa"/>
            <w:tcBorders>
              <w:left w:val="nil"/>
              <w:bottom w:val="single" w:sz="4" w:space="0" w:color="BFBFBF" w:themeColor="background1" w:themeShade="BF"/>
              <w:right w:val="nil"/>
            </w:tcBorders>
          </w:tcPr>
          <w:p w:rsidR="004837F5" w:rsidRPr="00AF40D6" w:rsidRDefault="004837F5" w:rsidP="00F95BC3">
            <w:pPr>
              <w:pStyle w:val="Textbody"/>
            </w:pPr>
            <w:r>
              <w:t>70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left w:val="nil"/>
              <w:bottom w:val="single" w:sz="4" w:space="0" w:color="BFBFBF" w:themeColor="background1" w:themeShade="BF"/>
              <w:right w:val="nil"/>
            </w:tcBorders>
          </w:tcPr>
          <w:p w:rsidR="004837F5" w:rsidRPr="00AF40D6" w:rsidRDefault="004837F5" w:rsidP="00F95BC3">
            <w:pPr>
              <w:pStyle w:val="Textbody"/>
            </w:pPr>
            <w:r>
              <w:t>50</w:t>
            </w:r>
          </w:p>
        </w:tc>
        <w:tc>
          <w:tcPr>
            <w:tcW w:w="266" w:type="dxa"/>
            <w:tcBorders>
              <w:top w:val="nil"/>
              <w:left w:val="nil"/>
              <w:bottom w:val="nil"/>
              <w:right w:val="nil"/>
            </w:tcBorders>
          </w:tcPr>
          <w:p w:rsidR="004837F5" w:rsidRPr="00AF40D6" w:rsidRDefault="004837F5" w:rsidP="00F95BC3">
            <w:pPr>
              <w:pStyle w:val="Textbody"/>
            </w:pPr>
          </w:p>
        </w:tc>
        <w:tc>
          <w:tcPr>
            <w:tcW w:w="980" w:type="dxa"/>
            <w:tcBorders>
              <w:left w:val="nil"/>
              <w:bottom w:val="single" w:sz="4" w:space="0" w:color="BFBFBF" w:themeColor="background1" w:themeShade="BF"/>
              <w:right w:val="nil"/>
            </w:tcBorders>
          </w:tcPr>
          <w:p w:rsidR="004837F5" w:rsidRPr="00AF40D6" w:rsidRDefault="004837F5" w:rsidP="00F95BC3">
            <w:pPr>
              <w:pStyle w:val="Textbody"/>
            </w:pPr>
            <w:r>
              <w:t>50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left w:val="nil"/>
              <w:bottom w:val="single" w:sz="4" w:space="0" w:color="BFBFBF" w:themeColor="background1" w:themeShade="BF"/>
              <w:right w:val="nil"/>
            </w:tcBorders>
          </w:tcPr>
          <w:p w:rsidR="004837F5" w:rsidRPr="00AF40D6" w:rsidRDefault="004837F5" w:rsidP="00F95BC3">
            <w:pPr>
              <w:pStyle w:val="Textbody"/>
            </w:pPr>
            <w:r>
              <w:t>0</w:t>
            </w:r>
          </w:p>
        </w:tc>
        <w:tc>
          <w:tcPr>
            <w:tcW w:w="236" w:type="dxa"/>
            <w:tcBorders>
              <w:top w:val="nil"/>
              <w:left w:val="nil"/>
              <w:bottom w:val="nil"/>
              <w:right w:val="nil"/>
            </w:tcBorders>
          </w:tcPr>
          <w:p w:rsidR="004837F5" w:rsidRPr="00AF40D6" w:rsidRDefault="004837F5" w:rsidP="00F95BC3">
            <w:pPr>
              <w:pStyle w:val="Textbody"/>
            </w:pPr>
          </w:p>
        </w:tc>
        <w:tc>
          <w:tcPr>
            <w:tcW w:w="980" w:type="dxa"/>
            <w:tcBorders>
              <w:left w:val="nil"/>
              <w:bottom w:val="single" w:sz="4" w:space="0" w:color="BFBFBF" w:themeColor="background1" w:themeShade="BF"/>
              <w:right w:val="nil"/>
            </w:tcBorders>
          </w:tcPr>
          <w:p w:rsidR="004837F5" w:rsidRPr="00AF40D6" w:rsidRDefault="004837F5" w:rsidP="00F95BC3">
            <w:pPr>
              <w:pStyle w:val="Textbody"/>
            </w:pPr>
            <w:r>
              <w:t>0</w:t>
            </w:r>
          </w:p>
        </w:tc>
      </w:tr>
      <w:tr w:rsidR="004837F5" w:rsidTr="00F95BC3">
        <w:tc>
          <w:tcPr>
            <w:tcW w:w="3142" w:type="dxa"/>
            <w:tcBorders>
              <w:top w:val="single" w:sz="4" w:space="0" w:color="BFBFBF" w:themeColor="background1" w:themeShade="BF"/>
              <w:left w:val="nil"/>
              <w:bottom w:val="single" w:sz="4" w:space="0" w:color="BFBFBF" w:themeColor="background1" w:themeShade="BF"/>
              <w:right w:val="nil"/>
            </w:tcBorders>
          </w:tcPr>
          <w:p w:rsidR="004837F5" w:rsidRPr="00AF40D6" w:rsidRDefault="004837F5" w:rsidP="00F95BC3">
            <w:pPr>
              <w:pStyle w:val="Textbody"/>
            </w:pPr>
            <w:r>
              <w:t>Revenue project expenditure</w:t>
            </w:r>
          </w:p>
        </w:tc>
        <w:tc>
          <w:tcPr>
            <w:tcW w:w="234"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837F5" w:rsidRPr="00AF40D6" w:rsidRDefault="004837F5" w:rsidP="00F95BC3">
            <w:pPr>
              <w:pStyle w:val="Textbody"/>
            </w:pPr>
            <w:r>
              <w:t>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837F5" w:rsidRPr="00AF40D6" w:rsidRDefault="004837F5" w:rsidP="00F95BC3">
            <w:pPr>
              <w:pStyle w:val="Textbody"/>
            </w:pPr>
            <w:r>
              <w:t>0</w:t>
            </w:r>
          </w:p>
        </w:tc>
        <w:tc>
          <w:tcPr>
            <w:tcW w:w="266"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837F5" w:rsidRPr="00AF40D6" w:rsidRDefault="004837F5" w:rsidP="00F95BC3">
            <w:pPr>
              <w:pStyle w:val="Textbody"/>
            </w:pPr>
            <w:r>
              <w:t>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837F5" w:rsidRPr="00AF40D6" w:rsidRDefault="004837F5" w:rsidP="00F95BC3">
            <w:pPr>
              <w:pStyle w:val="Textbody"/>
            </w:pPr>
            <w:r>
              <w:t>0</w:t>
            </w:r>
          </w:p>
        </w:tc>
        <w:tc>
          <w:tcPr>
            <w:tcW w:w="236"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837F5" w:rsidRPr="00AF40D6" w:rsidRDefault="004837F5" w:rsidP="00F95BC3">
            <w:pPr>
              <w:pStyle w:val="Textbody"/>
            </w:pPr>
            <w:r>
              <w:t>0</w:t>
            </w:r>
          </w:p>
        </w:tc>
      </w:tr>
      <w:tr w:rsidR="004837F5" w:rsidTr="00F95BC3">
        <w:tc>
          <w:tcPr>
            <w:tcW w:w="3142" w:type="dxa"/>
            <w:tcBorders>
              <w:top w:val="single" w:sz="4" w:space="0" w:color="BFBFBF" w:themeColor="background1" w:themeShade="BF"/>
              <w:left w:val="nil"/>
              <w:bottom w:val="single" w:sz="4" w:space="0" w:color="auto"/>
              <w:right w:val="nil"/>
            </w:tcBorders>
          </w:tcPr>
          <w:p w:rsidR="004837F5" w:rsidRPr="00AF40D6" w:rsidRDefault="004837F5" w:rsidP="00F95BC3">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837F5" w:rsidRPr="00AF40D6" w:rsidRDefault="004837F5"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4837F5" w:rsidRPr="00AF40D6" w:rsidRDefault="004837F5" w:rsidP="00F95BC3">
            <w:pPr>
              <w:pStyle w:val="Textbody"/>
              <w:rPr>
                <w:b/>
              </w:rPr>
            </w:pPr>
            <w:r>
              <w:rPr>
                <w:b/>
              </w:rPr>
              <w:t>70</w:t>
            </w:r>
          </w:p>
        </w:tc>
        <w:tc>
          <w:tcPr>
            <w:tcW w:w="232" w:type="dxa"/>
            <w:tcBorders>
              <w:top w:val="nil"/>
              <w:left w:val="nil"/>
              <w:bottom w:val="nil"/>
              <w:right w:val="nil"/>
            </w:tcBorders>
          </w:tcPr>
          <w:p w:rsidR="004837F5" w:rsidRPr="00AF40D6" w:rsidRDefault="004837F5"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4837F5" w:rsidRPr="00AF40D6" w:rsidRDefault="004837F5" w:rsidP="00F95BC3">
            <w:pPr>
              <w:pStyle w:val="Textbody"/>
              <w:rPr>
                <w:b/>
              </w:rPr>
            </w:pPr>
            <w:r>
              <w:rPr>
                <w:b/>
              </w:rPr>
              <w:t>50</w:t>
            </w:r>
          </w:p>
        </w:tc>
        <w:tc>
          <w:tcPr>
            <w:tcW w:w="266" w:type="dxa"/>
            <w:tcBorders>
              <w:top w:val="nil"/>
              <w:left w:val="nil"/>
              <w:bottom w:val="nil"/>
              <w:right w:val="nil"/>
            </w:tcBorders>
          </w:tcPr>
          <w:p w:rsidR="004837F5" w:rsidRPr="00AF40D6" w:rsidRDefault="004837F5"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4837F5" w:rsidRPr="00AF40D6" w:rsidRDefault="004837F5" w:rsidP="00F95BC3">
            <w:pPr>
              <w:pStyle w:val="Textbody"/>
              <w:rPr>
                <w:b/>
              </w:rPr>
            </w:pPr>
            <w:r>
              <w:rPr>
                <w:b/>
              </w:rPr>
              <w:t>50</w:t>
            </w:r>
          </w:p>
        </w:tc>
        <w:tc>
          <w:tcPr>
            <w:tcW w:w="232" w:type="dxa"/>
            <w:tcBorders>
              <w:top w:val="nil"/>
              <w:left w:val="nil"/>
              <w:bottom w:val="nil"/>
              <w:right w:val="nil"/>
            </w:tcBorders>
          </w:tcPr>
          <w:p w:rsidR="004837F5" w:rsidRPr="00AF40D6" w:rsidRDefault="004837F5"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4837F5" w:rsidRPr="00AF40D6" w:rsidRDefault="004837F5" w:rsidP="00F95BC3">
            <w:pPr>
              <w:pStyle w:val="Textbody"/>
              <w:rPr>
                <w:b/>
              </w:rPr>
            </w:pPr>
            <w:r>
              <w:rPr>
                <w:b/>
              </w:rPr>
              <w:t>0</w:t>
            </w:r>
          </w:p>
        </w:tc>
        <w:tc>
          <w:tcPr>
            <w:tcW w:w="236" w:type="dxa"/>
            <w:tcBorders>
              <w:top w:val="nil"/>
              <w:left w:val="nil"/>
              <w:bottom w:val="nil"/>
              <w:right w:val="nil"/>
            </w:tcBorders>
          </w:tcPr>
          <w:p w:rsidR="004837F5" w:rsidRPr="00AF40D6" w:rsidRDefault="004837F5" w:rsidP="00F95BC3">
            <w:pPr>
              <w:pStyle w:val="Textbody"/>
              <w:rPr>
                <w:b/>
              </w:rPr>
            </w:pPr>
          </w:p>
        </w:tc>
        <w:tc>
          <w:tcPr>
            <w:tcW w:w="980" w:type="dxa"/>
            <w:tcBorders>
              <w:top w:val="single" w:sz="4" w:space="0" w:color="BFBFBF" w:themeColor="background1" w:themeShade="BF"/>
              <w:left w:val="nil"/>
              <w:bottom w:val="single" w:sz="4" w:space="0" w:color="auto"/>
              <w:right w:val="nil"/>
            </w:tcBorders>
          </w:tcPr>
          <w:p w:rsidR="004837F5" w:rsidRPr="00AF40D6" w:rsidRDefault="004837F5" w:rsidP="00F95BC3">
            <w:pPr>
              <w:pStyle w:val="Textbody"/>
              <w:rPr>
                <w:b/>
              </w:rPr>
            </w:pPr>
            <w:r>
              <w:rPr>
                <w:b/>
              </w:rPr>
              <w:t>0</w:t>
            </w:r>
          </w:p>
        </w:tc>
      </w:tr>
      <w:tr w:rsidR="004837F5" w:rsidTr="00F95BC3">
        <w:trPr>
          <w:trHeight w:val="117"/>
        </w:trPr>
        <w:tc>
          <w:tcPr>
            <w:tcW w:w="3142" w:type="dxa"/>
            <w:tcBorders>
              <w:top w:val="single" w:sz="4" w:space="0" w:color="auto"/>
              <w:left w:val="nil"/>
              <w:bottom w:val="single" w:sz="4" w:space="0" w:color="auto"/>
              <w:right w:val="nil"/>
            </w:tcBorders>
          </w:tcPr>
          <w:p w:rsidR="004837F5" w:rsidRPr="00297742" w:rsidRDefault="004837F5" w:rsidP="00F95BC3">
            <w:pPr>
              <w:pStyle w:val="Textbody"/>
              <w:spacing w:after="0"/>
              <w:rPr>
                <w:b/>
              </w:rPr>
            </w:pPr>
            <w:r w:rsidRPr="00297742">
              <w:rPr>
                <w:b/>
              </w:rPr>
              <w:t>Operational Costs of Project</w:t>
            </w:r>
          </w:p>
        </w:tc>
        <w:tc>
          <w:tcPr>
            <w:tcW w:w="234" w:type="dxa"/>
            <w:tcBorders>
              <w:top w:val="nil"/>
              <w:left w:val="nil"/>
              <w:bottom w:val="nil"/>
              <w:right w:val="nil"/>
            </w:tcBorders>
          </w:tcPr>
          <w:p w:rsidR="004837F5" w:rsidRPr="00AF40D6" w:rsidRDefault="004837F5" w:rsidP="00F95BC3">
            <w:pPr>
              <w:pStyle w:val="Textbody"/>
              <w:spacing w:after="0"/>
              <w:rPr>
                <w:sz w:val="8"/>
                <w:szCs w:val="8"/>
              </w:rPr>
            </w:pPr>
          </w:p>
        </w:tc>
        <w:tc>
          <w:tcPr>
            <w:tcW w:w="980" w:type="dxa"/>
            <w:tcBorders>
              <w:top w:val="single" w:sz="4" w:space="0" w:color="auto"/>
              <w:left w:val="nil"/>
              <w:bottom w:val="single" w:sz="4" w:space="0" w:color="auto"/>
              <w:right w:val="nil"/>
            </w:tcBorders>
          </w:tcPr>
          <w:p w:rsidR="004837F5" w:rsidRPr="00AF40D6" w:rsidRDefault="004837F5" w:rsidP="00F95BC3">
            <w:pPr>
              <w:pStyle w:val="Textbody"/>
              <w:spacing w:after="0"/>
              <w:rPr>
                <w:b/>
              </w:rPr>
            </w:pPr>
            <w:r w:rsidRPr="00AF40D6">
              <w:rPr>
                <w:b/>
              </w:rPr>
              <w:t>2015/16</w:t>
            </w:r>
          </w:p>
          <w:p w:rsidR="004837F5" w:rsidRPr="00AF40D6" w:rsidRDefault="004837F5" w:rsidP="00F95BC3">
            <w:pPr>
              <w:pStyle w:val="Textbody"/>
              <w:spacing w:after="0"/>
              <w:rPr>
                <w:b/>
              </w:rPr>
            </w:pPr>
            <w:r w:rsidRPr="00AF40D6">
              <w:rPr>
                <w:b/>
              </w:rPr>
              <w:t>(£000)</w:t>
            </w:r>
          </w:p>
        </w:tc>
        <w:tc>
          <w:tcPr>
            <w:tcW w:w="232" w:type="dxa"/>
            <w:tcBorders>
              <w:top w:val="nil"/>
              <w:left w:val="nil"/>
              <w:bottom w:val="nil"/>
              <w:right w:val="nil"/>
            </w:tcBorders>
          </w:tcPr>
          <w:p w:rsidR="004837F5" w:rsidRPr="00AF40D6" w:rsidRDefault="004837F5" w:rsidP="00F95BC3">
            <w:pPr>
              <w:pStyle w:val="Textbody"/>
              <w:spacing w:after="0"/>
              <w:rPr>
                <w:b/>
              </w:rPr>
            </w:pPr>
          </w:p>
        </w:tc>
        <w:tc>
          <w:tcPr>
            <w:tcW w:w="980" w:type="dxa"/>
            <w:tcBorders>
              <w:top w:val="single" w:sz="4" w:space="0" w:color="auto"/>
              <w:left w:val="nil"/>
              <w:bottom w:val="single" w:sz="4" w:space="0" w:color="auto"/>
              <w:right w:val="nil"/>
            </w:tcBorders>
          </w:tcPr>
          <w:p w:rsidR="004837F5" w:rsidRPr="00AF40D6" w:rsidRDefault="004837F5" w:rsidP="00F95BC3">
            <w:pPr>
              <w:pStyle w:val="Textbody"/>
              <w:spacing w:after="0"/>
              <w:rPr>
                <w:b/>
              </w:rPr>
            </w:pPr>
            <w:r w:rsidRPr="00AF40D6">
              <w:rPr>
                <w:b/>
              </w:rPr>
              <w:t>2016/17</w:t>
            </w:r>
          </w:p>
          <w:p w:rsidR="004837F5" w:rsidRPr="00AF40D6" w:rsidRDefault="004837F5" w:rsidP="00F95BC3">
            <w:pPr>
              <w:pStyle w:val="Textbody"/>
              <w:spacing w:after="0"/>
              <w:rPr>
                <w:b/>
              </w:rPr>
            </w:pPr>
            <w:r w:rsidRPr="00AF40D6">
              <w:rPr>
                <w:b/>
              </w:rPr>
              <w:t>(£000)</w:t>
            </w:r>
          </w:p>
        </w:tc>
        <w:tc>
          <w:tcPr>
            <w:tcW w:w="266" w:type="dxa"/>
            <w:tcBorders>
              <w:top w:val="nil"/>
              <w:left w:val="nil"/>
              <w:bottom w:val="nil"/>
              <w:right w:val="nil"/>
            </w:tcBorders>
          </w:tcPr>
          <w:p w:rsidR="004837F5" w:rsidRPr="00AF40D6" w:rsidRDefault="004837F5" w:rsidP="00F95BC3">
            <w:pPr>
              <w:pStyle w:val="Textbody"/>
              <w:spacing w:after="0"/>
              <w:rPr>
                <w:b/>
              </w:rPr>
            </w:pPr>
          </w:p>
        </w:tc>
        <w:tc>
          <w:tcPr>
            <w:tcW w:w="980" w:type="dxa"/>
            <w:tcBorders>
              <w:top w:val="single" w:sz="4" w:space="0" w:color="auto"/>
              <w:left w:val="nil"/>
              <w:bottom w:val="single" w:sz="4" w:space="0" w:color="auto"/>
              <w:right w:val="nil"/>
            </w:tcBorders>
          </w:tcPr>
          <w:p w:rsidR="004837F5" w:rsidRPr="00AF40D6" w:rsidRDefault="004837F5" w:rsidP="00F95BC3">
            <w:pPr>
              <w:pStyle w:val="Textbody"/>
              <w:spacing w:after="0"/>
              <w:rPr>
                <w:b/>
              </w:rPr>
            </w:pPr>
            <w:r w:rsidRPr="00AF40D6">
              <w:rPr>
                <w:b/>
              </w:rPr>
              <w:t>2017/18</w:t>
            </w:r>
          </w:p>
          <w:p w:rsidR="004837F5" w:rsidRPr="00AF40D6" w:rsidRDefault="004837F5" w:rsidP="00F95BC3">
            <w:pPr>
              <w:pStyle w:val="Textbody"/>
              <w:spacing w:after="0"/>
              <w:rPr>
                <w:b/>
              </w:rPr>
            </w:pPr>
            <w:r w:rsidRPr="00AF40D6">
              <w:rPr>
                <w:b/>
              </w:rPr>
              <w:t>(£000)</w:t>
            </w:r>
          </w:p>
        </w:tc>
        <w:tc>
          <w:tcPr>
            <w:tcW w:w="232" w:type="dxa"/>
            <w:tcBorders>
              <w:top w:val="nil"/>
              <w:left w:val="nil"/>
              <w:bottom w:val="nil"/>
              <w:right w:val="nil"/>
            </w:tcBorders>
          </w:tcPr>
          <w:p w:rsidR="004837F5" w:rsidRPr="00AF40D6" w:rsidRDefault="004837F5" w:rsidP="00F95BC3">
            <w:pPr>
              <w:pStyle w:val="Textbody"/>
              <w:spacing w:after="0"/>
              <w:rPr>
                <w:b/>
              </w:rPr>
            </w:pPr>
          </w:p>
        </w:tc>
        <w:tc>
          <w:tcPr>
            <w:tcW w:w="980" w:type="dxa"/>
            <w:tcBorders>
              <w:top w:val="single" w:sz="4" w:space="0" w:color="auto"/>
              <w:left w:val="nil"/>
              <w:bottom w:val="single" w:sz="4" w:space="0" w:color="auto"/>
              <w:right w:val="nil"/>
            </w:tcBorders>
          </w:tcPr>
          <w:p w:rsidR="004837F5" w:rsidRPr="00AF40D6" w:rsidRDefault="004837F5" w:rsidP="00F95BC3">
            <w:pPr>
              <w:pStyle w:val="Textbody"/>
              <w:spacing w:after="0"/>
              <w:rPr>
                <w:b/>
              </w:rPr>
            </w:pPr>
            <w:r w:rsidRPr="00AF40D6">
              <w:rPr>
                <w:b/>
              </w:rPr>
              <w:t>2018/19 (£000)</w:t>
            </w:r>
          </w:p>
        </w:tc>
        <w:tc>
          <w:tcPr>
            <w:tcW w:w="236" w:type="dxa"/>
            <w:tcBorders>
              <w:top w:val="nil"/>
              <w:left w:val="nil"/>
              <w:bottom w:val="nil"/>
              <w:right w:val="nil"/>
            </w:tcBorders>
          </w:tcPr>
          <w:p w:rsidR="004837F5" w:rsidRPr="00AF40D6" w:rsidRDefault="004837F5" w:rsidP="00F95BC3">
            <w:pPr>
              <w:pStyle w:val="Textbody"/>
              <w:spacing w:after="0"/>
              <w:rPr>
                <w:b/>
              </w:rPr>
            </w:pPr>
          </w:p>
        </w:tc>
        <w:tc>
          <w:tcPr>
            <w:tcW w:w="980" w:type="dxa"/>
            <w:tcBorders>
              <w:top w:val="single" w:sz="4" w:space="0" w:color="auto"/>
              <w:left w:val="nil"/>
              <w:bottom w:val="single" w:sz="4" w:space="0" w:color="auto"/>
              <w:right w:val="nil"/>
            </w:tcBorders>
          </w:tcPr>
          <w:p w:rsidR="004837F5" w:rsidRPr="00AF40D6" w:rsidRDefault="004837F5" w:rsidP="00F95BC3">
            <w:pPr>
              <w:pStyle w:val="Textbody"/>
              <w:spacing w:after="0"/>
              <w:rPr>
                <w:b/>
              </w:rPr>
            </w:pPr>
            <w:r w:rsidRPr="00AF40D6">
              <w:rPr>
                <w:b/>
              </w:rPr>
              <w:t>2019/20 (£000)</w:t>
            </w:r>
          </w:p>
        </w:tc>
      </w:tr>
      <w:tr w:rsidR="004837F5" w:rsidTr="00F95BC3">
        <w:tc>
          <w:tcPr>
            <w:tcW w:w="3142" w:type="dxa"/>
            <w:tcBorders>
              <w:top w:val="single" w:sz="4" w:space="0" w:color="BFBFBF" w:themeColor="background1" w:themeShade="BF"/>
              <w:left w:val="nil"/>
              <w:bottom w:val="single" w:sz="4" w:space="0" w:color="A6A6A6" w:themeColor="background1" w:themeShade="A6"/>
              <w:right w:val="nil"/>
            </w:tcBorders>
          </w:tcPr>
          <w:p w:rsidR="004837F5" w:rsidRDefault="004837F5" w:rsidP="00F95BC3">
            <w:pPr>
              <w:pStyle w:val="Textbody"/>
            </w:pPr>
            <w:r>
              <w:t>Additional costs</w:t>
            </w:r>
          </w:p>
        </w:tc>
        <w:tc>
          <w:tcPr>
            <w:tcW w:w="234"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66"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36"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r>
      <w:tr w:rsidR="004837F5" w:rsidTr="00F95BC3">
        <w:tc>
          <w:tcPr>
            <w:tcW w:w="3142"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Efficiencies identified</w:t>
            </w:r>
          </w:p>
        </w:tc>
        <w:tc>
          <w:tcPr>
            <w:tcW w:w="234"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66"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32"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c>
          <w:tcPr>
            <w:tcW w:w="236" w:type="dxa"/>
            <w:tcBorders>
              <w:top w:val="nil"/>
              <w:left w:val="nil"/>
              <w:bottom w:val="nil"/>
              <w:right w:val="nil"/>
            </w:tcBorders>
          </w:tcPr>
          <w:p w:rsidR="004837F5" w:rsidRPr="00AF40D6" w:rsidRDefault="004837F5" w:rsidP="00F95BC3">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837F5" w:rsidRPr="00AF40D6" w:rsidRDefault="004837F5" w:rsidP="00F95BC3">
            <w:pPr>
              <w:pStyle w:val="Textbody"/>
            </w:pPr>
            <w:r>
              <w:t>0</w:t>
            </w:r>
          </w:p>
        </w:tc>
      </w:tr>
      <w:tr w:rsidR="004837F5" w:rsidRPr="00AF40D6" w:rsidTr="00F95BC3">
        <w:tc>
          <w:tcPr>
            <w:tcW w:w="3142" w:type="dxa"/>
            <w:tcBorders>
              <w:top w:val="single" w:sz="4" w:space="0" w:color="A6A6A6" w:themeColor="background1" w:themeShade="A6"/>
              <w:left w:val="nil"/>
              <w:right w:val="nil"/>
            </w:tcBorders>
          </w:tcPr>
          <w:p w:rsidR="004837F5" w:rsidRPr="005338CE" w:rsidRDefault="004837F5" w:rsidP="00F95BC3">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837F5" w:rsidRPr="00AF40D6" w:rsidRDefault="004837F5" w:rsidP="00F95BC3">
            <w:pPr>
              <w:pStyle w:val="Textbody"/>
              <w:rPr>
                <w:sz w:val="8"/>
                <w:szCs w:val="8"/>
              </w:rPr>
            </w:pPr>
          </w:p>
        </w:tc>
        <w:tc>
          <w:tcPr>
            <w:tcW w:w="980" w:type="dxa"/>
            <w:tcBorders>
              <w:top w:val="single" w:sz="4" w:space="0" w:color="A6A6A6" w:themeColor="background1" w:themeShade="A6"/>
              <w:left w:val="nil"/>
              <w:right w:val="nil"/>
            </w:tcBorders>
          </w:tcPr>
          <w:p w:rsidR="004837F5" w:rsidRPr="00DC17F7" w:rsidRDefault="004837F5" w:rsidP="00F95BC3">
            <w:pPr>
              <w:pStyle w:val="Textbody"/>
            </w:pPr>
            <w:r>
              <w:t>0</w:t>
            </w:r>
          </w:p>
        </w:tc>
        <w:tc>
          <w:tcPr>
            <w:tcW w:w="232" w:type="dxa"/>
            <w:tcBorders>
              <w:top w:val="nil"/>
              <w:left w:val="nil"/>
              <w:bottom w:val="nil"/>
              <w:right w:val="nil"/>
            </w:tcBorders>
          </w:tcPr>
          <w:p w:rsidR="004837F5" w:rsidRPr="00DC17F7" w:rsidRDefault="004837F5" w:rsidP="00F95BC3">
            <w:pPr>
              <w:pStyle w:val="Textbody"/>
            </w:pPr>
          </w:p>
        </w:tc>
        <w:tc>
          <w:tcPr>
            <w:tcW w:w="980" w:type="dxa"/>
            <w:tcBorders>
              <w:top w:val="single" w:sz="4" w:space="0" w:color="A6A6A6" w:themeColor="background1" w:themeShade="A6"/>
              <w:left w:val="nil"/>
              <w:right w:val="nil"/>
            </w:tcBorders>
          </w:tcPr>
          <w:p w:rsidR="004837F5" w:rsidRPr="00DC17F7" w:rsidRDefault="004837F5" w:rsidP="00F95BC3">
            <w:pPr>
              <w:pStyle w:val="Textbody"/>
            </w:pPr>
            <w:r>
              <w:t>17</w:t>
            </w:r>
          </w:p>
        </w:tc>
        <w:tc>
          <w:tcPr>
            <w:tcW w:w="266" w:type="dxa"/>
            <w:tcBorders>
              <w:top w:val="nil"/>
              <w:left w:val="nil"/>
              <w:bottom w:val="nil"/>
              <w:right w:val="nil"/>
            </w:tcBorders>
          </w:tcPr>
          <w:p w:rsidR="004837F5" w:rsidRPr="00DC17F7" w:rsidRDefault="004837F5" w:rsidP="00F95BC3">
            <w:pPr>
              <w:pStyle w:val="Textbody"/>
            </w:pPr>
          </w:p>
        </w:tc>
        <w:tc>
          <w:tcPr>
            <w:tcW w:w="980" w:type="dxa"/>
            <w:tcBorders>
              <w:top w:val="single" w:sz="4" w:space="0" w:color="A6A6A6" w:themeColor="background1" w:themeShade="A6"/>
              <w:left w:val="nil"/>
              <w:right w:val="nil"/>
            </w:tcBorders>
          </w:tcPr>
          <w:p w:rsidR="004837F5" w:rsidRPr="00DC17F7" w:rsidRDefault="004837F5" w:rsidP="00F95BC3">
            <w:pPr>
              <w:pStyle w:val="Textbody"/>
            </w:pPr>
            <w:r>
              <w:t>29</w:t>
            </w:r>
          </w:p>
        </w:tc>
        <w:tc>
          <w:tcPr>
            <w:tcW w:w="232" w:type="dxa"/>
            <w:tcBorders>
              <w:top w:val="nil"/>
              <w:left w:val="nil"/>
              <w:bottom w:val="nil"/>
              <w:right w:val="nil"/>
            </w:tcBorders>
          </w:tcPr>
          <w:p w:rsidR="004837F5" w:rsidRPr="00DC17F7" w:rsidRDefault="004837F5" w:rsidP="00F95BC3">
            <w:pPr>
              <w:pStyle w:val="Textbody"/>
            </w:pPr>
          </w:p>
        </w:tc>
        <w:tc>
          <w:tcPr>
            <w:tcW w:w="980" w:type="dxa"/>
            <w:tcBorders>
              <w:top w:val="single" w:sz="4" w:space="0" w:color="A6A6A6" w:themeColor="background1" w:themeShade="A6"/>
              <w:left w:val="nil"/>
              <w:right w:val="nil"/>
            </w:tcBorders>
          </w:tcPr>
          <w:p w:rsidR="004837F5" w:rsidRPr="00DC17F7" w:rsidRDefault="004837F5" w:rsidP="00F95BC3">
            <w:pPr>
              <w:pStyle w:val="Textbody"/>
            </w:pPr>
            <w:r>
              <w:t>43</w:t>
            </w:r>
          </w:p>
        </w:tc>
        <w:tc>
          <w:tcPr>
            <w:tcW w:w="236" w:type="dxa"/>
            <w:tcBorders>
              <w:top w:val="nil"/>
              <w:left w:val="nil"/>
              <w:bottom w:val="nil"/>
              <w:right w:val="nil"/>
            </w:tcBorders>
          </w:tcPr>
          <w:p w:rsidR="004837F5" w:rsidRPr="00DC17F7" w:rsidRDefault="004837F5" w:rsidP="00F95BC3">
            <w:pPr>
              <w:pStyle w:val="Textbody"/>
            </w:pPr>
          </w:p>
        </w:tc>
        <w:tc>
          <w:tcPr>
            <w:tcW w:w="980" w:type="dxa"/>
            <w:tcBorders>
              <w:top w:val="single" w:sz="4" w:space="0" w:color="A6A6A6" w:themeColor="background1" w:themeShade="A6"/>
              <w:left w:val="nil"/>
              <w:right w:val="nil"/>
            </w:tcBorders>
          </w:tcPr>
          <w:p w:rsidR="004837F5" w:rsidRPr="00DC17F7" w:rsidRDefault="004837F5" w:rsidP="00F95BC3">
            <w:pPr>
              <w:pStyle w:val="Textbody"/>
            </w:pPr>
            <w:r>
              <w:t>43</w:t>
            </w:r>
          </w:p>
        </w:tc>
      </w:tr>
    </w:tbl>
    <w:p w:rsidR="004837F5" w:rsidRPr="00DC17F7" w:rsidRDefault="004837F5" w:rsidP="004837F5">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2022/23 is £38k</w:t>
      </w:r>
    </w:p>
    <w:p w:rsidR="004837F5" w:rsidRDefault="004837F5" w:rsidP="004837F5">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837F5" w:rsidTr="00F95BC3">
        <w:tc>
          <w:tcPr>
            <w:tcW w:w="1985" w:type="dxa"/>
            <w:tcBorders>
              <w:top w:val="single" w:sz="4" w:space="0" w:color="auto"/>
              <w:left w:val="single" w:sz="4" w:space="0" w:color="auto"/>
              <w:bottom w:val="single" w:sz="4" w:space="0" w:color="auto"/>
              <w:right w:val="nil"/>
            </w:tcBorders>
          </w:tcPr>
          <w:p w:rsidR="004837F5" w:rsidRPr="002047EB" w:rsidRDefault="004837F5" w:rsidP="00F95BC3">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837F5" w:rsidRPr="002047EB" w:rsidRDefault="004837F5" w:rsidP="00F95BC3">
            <w:pPr>
              <w:rPr>
                <w:b/>
              </w:rPr>
            </w:pPr>
            <w:r w:rsidRPr="002047EB">
              <w:rPr>
                <w:b/>
              </w:rPr>
              <w:t>Confidence</w:t>
            </w:r>
          </w:p>
        </w:tc>
      </w:tr>
      <w:tr w:rsidR="004837F5" w:rsidTr="00F95BC3">
        <w:tc>
          <w:tcPr>
            <w:tcW w:w="1985" w:type="dxa"/>
            <w:tcBorders>
              <w:top w:val="single" w:sz="4" w:space="0" w:color="auto"/>
              <w:left w:val="single" w:sz="4" w:space="0" w:color="auto"/>
              <w:bottom w:val="single" w:sz="4" w:space="0" w:color="BFBFBF" w:themeColor="background1" w:themeShade="BF"/>
              <w:right w:val="nil"/>
            </w:tcBorders>
          </w:tcPr>
          <w:p w:rsidR="004837F5" w:rsidRDefault="004837F5" w:rsidP="00F95BC3">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837F5" w:rsidRDefault="004837F5" w:rsidP="00F95BC3">
            <w:pPr>
              <w:tabs>
                <w:tab w:val="clear" w:pos="720"/>
                <w:tab w:val="right" w:pos="2194"/>
              </w:tabs>
            </w:pPr>
            <w:r>
              <w:t>High</w:t>
            </w:r>
          </w:p>
        </w:tc>
      </w:tr>
      <w:tr w:rsidR="004837F5" w:rsidTr="00F95BC3">
        <w:tc>
          <w:tcPr>
            <w:tcW w:w="1985" w:type="dxa"/>
            <w:tcBorders>
              <w:top w:val="single" w:sz="4" w:space="0" w:color="BFBFBF" w:themeColor="background1" w:themeShade="BF"/>
              <w:left w:val="single" w:sz="4" w:space="0" w:color="auto"/>
              <w:bottom w:val="single" w:sz="4" w:space="0" w:color="auto"/>
              <w:right w:val="nil"/>
            </w:tcBorders>
          </w:tcPr>
          <w:p w:rsidR="004837F5" w:rsidRDefault="004837F5" w:rsidP="00F95BC3">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837F5" w:rsidRDefault="004837F5" w:rsidP="00F95BC3">
            <w:r>
              <w:t>High</w:t>
            </w:r>
          </w:p>
        </w:tc>
      </w:tr>
    </w:tbl>
    <w:p w:rsidR="004837F5" w:rsidRDefault="004837F5" w:rsidP="004837F5"/>
    <w:p w:rsidR="004837F5" w:rsidRDefault="004837F5"/>
    <w:p w:rsidR="004837F5" w:rsidRDefault="004837F5">
      <w:r>
        <w:br w:type="page"/>
      </w:r>
    </w:p>
    <w:tbl>
      <w:tblPr>
        <w:tblW w:w="0" w:type="auto"/>
        <w:tblInd w:w="-432" w:type="dxa"/>
        <w:tblCellMar>
          <w:left w:w="10" w:type="dxa"/>
          <w:right w:w="10" w:type="dxa"/>
        </w:tblCellMar>
        <w:tblLook w:val="04A0" w:firstRow="1" w:lastRow="0" w:firstColumn="1" w:lastColumn="0" w:noHBand="0" w:noVBand="1"/>
      </w:tblPr>
      <w:tblGrid>
        <w:gridCol w:w="381"/>
        <w:gridCol w:w="207"/>
        <w:gridCol w:w="1995"/>
        <w:gridCol w:w="7026"/>
        <w:gridCol w:w="65"/>
      </w:tblGrid>
      <w:tr w:rsidR="00424C1D" w:rsidTr="00424C1D">
        <w:tc>
          <w:tcPr>
            <w:tcW w:w="381" w:type="dxa"/>
            <w:shd w:val="clear" w:color="auto" w:fill="FFFFFF"/>
            <w:tcMar>
              <w:top w:w="0" w:type="dxa"/>
              <w:left w:w="108" w:type="dxa"/>
              <w:bottom w:w="0" w:type="dxa"/>
              <w:right w:w="108" w:type="dxa"/>
            </w:tcMar>
          </w:tcPr>
          <w:p w:rsidR="00424C1D" w:rsidRDefault="00424C1D" w:rsidP="00424C1D">
            <w:pPr>
              <w:pStyle w:val="ListParagraph"/>
              <w:numPr>
                <w:ilvl w:val="0"/>
                <w:numId w:val="3"/>
              </w:numPr>
            </w:pPr>
          </w:p>
        </w:tc>
        <w:tc>
          <w:tcPr>
            <w:tcW w:w="9293" w:type="dxa"/>
            <w:gridSpan w:val="4"/>
            <w:shd w:val="clear" w:color="auto" w:fill="FFFFFF"/>
            <w:tcMar>
              <w:top w:w="0" w:type="dxa"/>
              <w:left w:w="108" w:type="dxa"/>
              <w:bottom w:w="0" w:type="dxa"/>
              <w:right w:w="108" w:type="dxa"/>
            </w:tcMar>
          </w:tcPr>
          <w:p w:rsidR="00424C1D" w:rsidRDefault="00424C1D" w:rsidP="00424C1D">
            <w:pPr>
              <w:pStyle w:val="Heading4"/>
            </w:pPr>
            <w:r>
              <w:t>Project: Research Data</w:t>
            </w:r>
            <w:r w:rsidRPr="00B77E8C">
              <w:t xml:space="preserve"> at JCMB</w:t>
            </w:r>
            <w:r>
              <w:t xml:space="preserve"> (Grow)</w:t>
            </w:r>
          </w:p>
          <w:p w:rsidR="00424C1D" w:rsidRDefault="00424C1D" w:rsidP="00424C1D">
            <w:pPr>
              <w:pStyle w:val="Textbody"/>
              <w:spacing w:after="0"/>
              <w:rPr>
                <w:b/>
                <w:sz w:val="20"/>
                <w:szCs w:val="20"/>
              </w:rPr>
            </w:pPr>
            <w:r>
              <w:rPr>
                <w:b/>
                <w:sz w:val="20"/>
                <w:szCs w:val="20"/>
              </w:rPr>
              <w:t>Infrastructure Category:  Data Centre</w:t>
            </w:r>
          </w:p>
          <w:p w:rsidR="00424C1D" w:rsidRDefault="00424C1D" w:rsidP="00424C1D">
            <w:pPr>
              <w:pStyle w:val="Textbody"/>
              <w:spacing w:after="0"/>
            </w:pPr>
            <w:r w:rsidRPr="00AD0753">
              <w:t xml:space="preserve">Data centre modification to support the </w:t>
            </w:r>
            <w:r>
              <w:t xml:space="preserve">national </w:t>
            </w:r>
            <w:r w:rsidRPr="00AD0753">
              <w:t>R</w:t>
            </w:r>
            <w:r>
              <w:t xml:space="preserve">esearch </w:t>
            </w:r>
            <w:r w:rsidRPr="00AD0753">
              <w:t>D</w:t>
            </w:r>
            <w:r>
              <w:t xml:space="preserve">ata </w:t>
            </w:r>
            <w:r w:rsidRPr="00AD0753">
              <w:t>F</w:t>
            </w:r>
            <w:r>
              <w:t>acility (RDF) funded by EPSRC. Requirement is for an offsite copy of data currently held at the ACF at Easter Bush to be housed at Kings Buildings for disaster recovery purposes.   The University will leverage this investment via “Director’s Time” which provides 5% of RDF capacity for institutional use.</w:t>
            </w:r>
          </w:p>
          <w:p w:rsidR="00424C1D" w:rsidRDefault="00424C1D" w:rsidP="00424C1D">
            <w:pPr>
              <w:pStyle w:val="Textbody"/>
              <w:spacing w:after="0"/>
            </w:pPr>
            <w:r>
              <w:t>This capital and operational costs of this work will be funded by EPSRC, and as such no costs are presented.</w:t>
            </w:r>
          </w:p>
          <w:p w:rsidR="00424C1D" w:rsidRDefault="00424C1D" w:rsidP="00424C1D">
            <w:pPr>
              <w:pStyle w:val="Textbody"/>
              <w:spacing w:after="0"/>
            </w:pPr>
          </w:p>
        </w:tc>
      </w:tr>
      <w:tr w:rsidR="00424C1D" w:rsidTr="00424C1D">
        <w:tblPrEx>
          <w:tblBorders>
            <w:top w:val="single" w:sz="2" w:space="0" w:color="000000"/>
            <w:left w:val="single" w:sz="2" w:space="0" w:color="000000"/>
            <w:bottom w:val="single" w:sz="2" w:space="0" w:color="000000"/>
          </w:tblBorders>
        </w:tblPrEx>
        <w:trPr>
          <w:gridBefore w:val="2"/>
          <w:gridAfter w:val="1"/>
          <w:wBefore w:w="588" w:type="dxa"/>
          <w:wAfter w:w="65" w:type="dxa"/>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B80B9B" w:rsidRDefault="00424C1D" w:rsidP="00424C1D">
            <w:pPr>
              <w:pStyle w:val="TableContents"/>
              <w:spacing w:after="120"/>
              <w:rPr>
                <w:bCs/>
              </w:rPr>
            </w:pPr>
            <w:r w:rsidRPr="00576E67">
              <w:rPr>
                <w:i/>
                <w:iCs/>
              </w:rPr>
              <w:t>Excellence In Research</w:t>
            </w:r>
            <w:r>
              <w:rPr>
                <w:iCs/>
              </w:rPr>
              <w:t xml:space="preserve">: </w:t>
            </w:r>
            <w:r w:rsidRPr="00576E67">
              <w:rPr>
                <w:bCs/>
              </w:rPr>
              <w:t>Support for Pioneering Research</w:t>
            </w:r>
            <w:r>
              <w:rPr>
                <w:bCs/>
              </w:rPr>
              <w:t>; Efficiency in Research S</w:t>
            </w:r>
            <w:r w:rsidRPr="00576E67">
              <w:rPr>
                <w:bCs/>
              </w:rPr>
              <w:t>upport</w:t>
            </w:r>
          </w:p>
        </w:tc>
      </w:tr>
      <w:tr w:rsidR="00424C1D" w:rsidTr="00424C1D">
        <w:tblPrEx>
          <w:tblBorders>
            <w:top w:val="single" w:sz="2" w:space="0" w:color="000000"/>
            <w:left w:val="single" w:sz="2" w:space="0" w:color="000000"/>
            <w:bottom w:val="single" w:sz="2" w:space="0" w:color="000000"/>
          </w:tblBorders>
        </w:tblPrEx>
        <w:trPr>
          <w:gridBefore w:val="2"/>
          <w:gridAfter w:val="1"/>
          <w:wBefore w:w="588" w:type="dxa"/>
          <w:wAfter w:w="65" w:type="dxa"/>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576E67" w:rsidRDefault="00424C1D" w:rsidP="00424C1D">
            <w:pPr>
              <w:pStyle w:val="TableContents"/>
              <w:spacing w:after="120"/>
            </w:pPr>
            <w:r w:rsidRPr="00576E67">
              <w:rPr>
                <w:bCs/>
                <w:i/>
              </w:rPr>
              <w:t>Infrastructure</w:t>
            </w:r>
            <w:r w:rsidRPr="00576E67">
              <w:rPr>
                <w:bCs/>
              </w:rPr>
              <w:t>: Infrastructure Power and Resilience</w:t>
            </w:r>
          </w:p>
        </w:tc>
      </w:tr>
      <w:tr w:rsidR="00424C1D" w:rsidTr="00424C1D">
        <w:tblPrEx>
          <w:tblBorders>
            <w:top w:val="single" w:sz="2" w:space="0" w:color="000000"/>
            <w:left w:val="single" w:sz="2" w:space="0" w:color="000000"/>
            <w:bottom w:val="single" w:sz="2" w:space="0" w:color="000000"/>
          </w:tblBorders>
        </w:tblPrEx>
        <w:trPr>
          <w:gridBefore w:val="2"/>
          <w:gridAfter w:val="1"/>
          <w:wBefore w:w="588" w:type="dxa"/>
          <w:wAfter w:w="65" w:type="dxa"/>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03161F" w:rsidRDefault="00424C1D" w:rsidP="00424C1D">
            <w:pPr>
              <w:pStyle w:val="TableContents"/>
              <w:spacing w:after="120"/>
            </w:pPr>
          </w:p>
        </w:tc>
      </w:tr>
    </w:tbl>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High</w:t>
            </w:r>
          </w:p>
        </w:tc>
      </w:tr>
    </w:tbl>
    <w:p w:rsidR="00424C1D" w:rsidRDefault="00424C1D" w:rsidP="00424C1D"/>
    <w:p w:rsidR="00424C1D" w:rsidRDefault="00424C1D" w:rsidP="00424C1D">
      <w:r>
        <w:br w:type="page"/>
      </w:r>
    </w:p>
    <w:tbl>
      <w:tblPr>
        <w:tblW w:w="0" w:type="auto"/>
        <w:tblInd w:w="-432" w:type="dxa"/>
        <w:tblCellMar>
          <w:left w:w="10" w:type="dxa"/>
          <w:right w:w="10" w:type="dxa"/>
        </w:tblCellMar>
        <w:tblLook w:val="04A0" w:firstRow="1" w:lastRow="0" w:firstColumn="1" w:lastColumn="0" w:noHBand="0" w:noVBand="1"/>
      </w:tblPr>
      <w:tblGrid>
        <w:gridCol w:w="381"/>
        <w:gridCol w:w="207"/>
        <w:gridCol w:w="1995"/>
        <w:gridCol w:w="7026"/>
        <w:gridCol w:w="65"/>
      </w:tblGrid>
      <w:tr w:rsidR="00424C1D" w:rsidTr="00424C1D">
        <w:tc>
          <w:tcPr>
            <w:tcW w:w="381" w:type="dxa"/>
            <w:shd w:val="clear" w:color="auto" w:fill="FFFFFF"/>
            <w:tcMar>
              <w:top w:w="0" w:type="dxa"/>
              <w:left w:w="108" w:type="dxa"/>
              <w:bottom w:w="0" w:type="dxa"/>
              <w:right w:w="108" w:type="dxa"/>
            </w:tcMar>
          </w:tcPr>
          <w:p w:rsidR="00424C1D" w:rsidRDefault="00424C1D" w:rsidP="00424C1D">
            <w:pPr>
              <w:pStyle w:val="ListParagraph"/>
              <w:numPr>
                <w:ilvl w:val="0"/>
                <w:numId w:val="3"/>
              </w:numPr>
            </w:pPr>
          </w:p>
        </w:tc>
        <w:tc>
          <w:tcPr>
            <w:tcW w:w="9293" w:type="dxa"/>
            <w:gridSpan w:val="4"/>
            <w:shd w:val="clear" w:color="auto" w:fill="FFFFFF"/>
            <w:tcMar>
              <w:top w:w="0" w:type="dxa"/>
              <w:left w:w="108" w:type="dxa"/>
              <w:bottom w:w="0" w:type="dxa"/>
              <w:right w:w="108" w:type="dxa"/>
            </w:tcMar>
          </w:tcPr>
          <w:p w:rsidR="00424C1D" w:rsidRDefault="00424C1D" w:rsidP="00424C1D">
            <w:pPr>
              <w:pStyle w:val="Heading4"/>
            </w:pPr>
            <w:r>
              <w:t xml:space="preserve">Project: </w:t>
            </w:r>
            <w:r w:rsidRPr="002047EB">
              <w:t xml:space="preserve">Apps to user devices </w:t>
            </w:r>
            <w:r>
              <w:t>(Transform)</w:t>
            </w:r>
          </w:p>
          <w:p w:rsidR="00424C1D" w:rsidRDefault="00424C1D" w:rsidP="00424C1D">
            <w:pPr>
              <w:pStyle w:val="Textbody"/>
              <w:spacing w:after="0"/>
              <w:rPr>
                <w:b/>
                <w:sz w:val="20"/>
                <w:szCs w:val="20"/>
              </w:rPr>
            </w:pPr>
            <w:r>
              <w:rPr>
                <w:b/>
                <w:sz w:val="20"/>
                <w:szCs w:val="20"/>
              </w:rPr>
              <w:t>Infrastructure Category:  Open Access</w:t>
            </w:r>
          </w:p>
          <w:p w:rsidR="00424C1D" w:rsidRPr="003B668C" w:rsidRDefault="00424C1D" w:rsidP="00424C1D">
            <w:pPr>
              <w:pStyle w:val="Textbody"/>
              <w:spacing w:after="0"/>
              <w:rPr>
                <w:color w:val="auto"/>
              </w:rPr>
            </w:pPr>
            <w:r w:rsidRPr="002047EB">
              <w:t>Delivery of applications to user devices via ‘browser’ mechanisms. This will free the user from location and device to access specialist software and is an essential component for DEI where students cannot use on premises services.  The increased flexibility will enable new methods of managing our desktop infrastructure and will so reduce reliance on Open Access desktops and local PC labs giving us economies of scale and improved user experience. Requires server farms and licensing, with medium term benefit of reducing costs on desktop PCs</w:t>
            </w:r>
            <w:r w:rsidRPr="003B668C">
              <w:rPr>
                <w:color w:val="auto"/>
              </w:rPr>
              <w:t xml:space="preserve">.  This project has been </w:t>
            </w:r>
            <w:proofErr w:type="spellStart"/>
            <w:r w:rsidRPr="003B668C">
              <w:rPr>
                <w:color w:val="auto"/>
              </w:rPr>
              <w:t>costed</w:t>
            </w:r>
            <w:proofErr w:type="spellEnd"/>
            <w:r w:rsidRPr="003B668C">
              <w:rPr>
                <w:color w:val="auto"/>
              </w:rPr>
              <w:t xml:space="preserve"> to provide 500 simultaneous users access to the service, with an expected concurrency of 10:1 (</w:t>
            </w:r>
            <w:proofErr w:type="spellStart"/>
            <w:r w:rsidRPr="003B668C">
              <w:rPr>
                <w:color w:val="auto"/>
              </w:rPr>
              <w:t>ie</w:t>
            </w:r>
            <w:proofErr w:type="spellEnd"/>
            <w:r w:rsidRPr="003B668C">
              <w:rPr>
                <w:color w:val="auto"/>
              </w:rPr>
              <w:t xml:space="preserve"> for every 10 users who have access to the service, only one would be accessing the service at any given time).  This would support a user population of 5,000.</w:t>
            </w:r>
          </w:p>
          <w:p w:rsidR="00424C1D" w:rsidRDefault="00424C1D" w:rsidP="00424C1D">
            <w:pPr>
              <w:pStyle w:val="Textbody"/>
              <w:spacing w:after="0"/>
            </w:pPr>
          </w:p>
        </w:tc>
      </w:tr>
      <w:tr w:rsidR="00424C1D" w:rsidTr="00424C1D">
        <w:tblPrEx>
          <w:tblBorders>
            <w:top w:val="single" w:sz="2" w:space="0" w:color="000000"/>
            <w:left w:val="single" w:sz="2" w:space="0" w:color="000000"/>
            <w:bottom w:val="single" w:sz="2" w:space="0" w:color="000000"/>
          </w:tblBorders>
        </w:tblPrEx>
        <w:trPr>
          <w:gridBefore w:val="2"/>
          <w:gridAfter w:val="1"/>
          <w:wBefore w:w="588" w:type="dxa"/>
          <w:wAfter w:w="65" w:type="dxa"/>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r>
              <w:rPr>
                <w:i/>
                <w:iCs/>
              </w:rPr>
              <w:t xml:space="preserve">Excellence in Education: </w:t>
            </w:r>
            <w:r w:rsidRPr="0003161F">
              <w:rPr>
                <w:bCs/>
              </w:rPr>
              <w:t>Distance Education Provision; New Technologies in Education</w:t>
            </w:r>
          </w:p>
        </w:tc>
      </w:tr>
      <w:tr w:rsidR="00424C1D" w:rsidTr="00424C1D">
        <w:tblPrEx>
          <w:tblBorders>
            <w:top w:val="single" w:sz="2" w:space="0" w:color="000000"/>
            <w:left w:val="single" w:sz="2" w:space="0" w:color="000000"/>
            <w:bottom w:val="single" w:sz="2" w:space="0" w:color="000000"/>
          </w:tblBorders>
        </w:tblPrEx>
        <w:trPr>
          <w:gridBefore w:val="2"/>
          <w:gridAfter w:val="1"/>
          <w:wBefore w:w="588" w:type="dxa"/>
          <w:wAfter w:w="65" w:type="dxa"/>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r>
              <w:rPr>
                <w:i/>
                <w:iCs/>
              </w:rPr>
              <w:t xml:space="preserve">Finance: </w:t>
            </w:r>
            <w:r w:rsidRPr="0003161F">
              <w:rPr>
                <w:bCs/>
              </w:rPr>
              <w:t>Financial efficiency</w:t>
            </w:r>
          </w:p>
        </w:tc>
      </w:tr>
      <w:tr w:rsidR="00424C1D" w:rsidTr="00424C1D">
        <w:tblPrEx>
          <w:tblBorders>
            <w:top w:val="single" w:sz="2" w:space="0" w:color="000000"/>
            <w:left w:val="single" w:sz="2" w:space="0" w:color="000000"/>
            <w:bottom w:val="single" w:sz="2" w:space="0" w:color="000000"/>
          </w:tblBorders>
        </w:tblPrEx>
        <w:trPr>
          <w:gridBefore w:val="2"/>
          <w:gridAfter w:val="1"/>
          <w:wBefore w:w="588" w:type="dxa"/>
          <w:wAfter w:w="65" w:type="dxa"/>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03161F" w:rsidRDefault="00424C1D" w:rsidP="00424C1D">
            <w:pPr>
              <w:pStyle w:val="TableContents"/>
              <w:spacing w:after="120"/>
            </w:pPr>
            <w:r w:rsidRPr="0003161F">
              <w:rPr>
                <w:bCs/>
              </w:rPr>
              <w:t>Outstanding Student Experience</w:t>
            </w: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Apps to User Devices</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173</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38</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49</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211</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49</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Recurrent staffing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40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40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40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40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40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Default="00424C1D" w:rsidP="00424C1D">
            <w:pPr>
              <w:pStyle w:val="Textbody"/>
            </w:pPr>
            <w:r>
              <w:t>Maintenance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8</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15</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25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25</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25</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 xml:space="preserve">Efficiencies </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081ADC" w:rsidRDefault="00424C1D" w:rsidP="00424C1D">
            <w:pPr>
              <w:pStyle w:val="Textbody"/>
              <w:rPr>
                <w:sz w:val="16"/>
                <w:szCs w:val="16"/>
              </w:rPr>
            </w:pPr>
            <w:r w:rsidRPr="00AF40D6">
              <w:t>Depreciation Charge</w:t>
            </w:r>
            <w:r>
              <w:t xml:space="preserve"> (Central)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0</w:t>
            </w:r>
          </w:p>
        </w:tc>
        <w:tc>
          <w:tcPr>
            <w:tcW w:w="232"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43</w:t>
            </w:r>
          </w:p>
        </w:tc>
        <w:tc>
          <w:tcPr>
            <w:tcW w:w="266"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43</w:t>
            </w:r>
          </w:p>
        </w:tc>
        <w:tc>
          <w:tcPr>
            <w:tcW w:w="232"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43</w:t>
            </w:r>
          </w:p>
        </w:tc>
        <w:tc>
          <w:tcPr>
            <w:tcW w:w="236" w:type="dxa"/>
            <w:tcBorders>
              <w:top w:val="nil"/>
              <w:left w:val="nil"/>
              <w:bottom w:val="nil"/>
              <w:right w:val="nil"/>
            </w:tcBorders>
          </w:tcPr>
          <w:p w:rsidR="00424C1D" w:rsidRPr="00081ADC" w:rsidRDefault="00424C1D" w:rsidP="00424C1D">
            <w:pPr>
              <w:pStyle w:val="Textbody"/>
            </w:pPr>
          </w:p>
        </w:tc>
        <w:tc>
          <w:tcPr>
            <w:tcW w:w="980" w:type="dxa"/>
            <w:tcBorders>
              <w:top w:val="single" w:sz="4" w:space="0" w:color="A6A6A6" w:themeColor="background1" w:themeShade="A6"/>
              <w:left w:val="nil"/>
              <w:right w:val="nil"/>
            </w:tcBorders>
          </w:tcPr>
          <w:p w:rsidR="00424C1D" w:rsidRPr="00081ADC" w:rsidRDefault="00424C1D" w:rsidP="00424C1D">
            <w:pPr>
              <w:pStyle w:val="Textbody"/>
            </w:pPr>
            <w:r>
              <w:t>44</w:t>
            </w:r>
          </w:p>
        </w:tc>
      </w:tr>
    </w:tbl>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High</w:t>
            </w:r>
          </w:p>
        </w:tc>
      </w:tr>
    </w:tbl>
    <w:p w:rsidR="00424C1D" w:rsidRDefault="00424C1D" w:rsidP="00424C1D"/>
    <w:p w:rsidR="00424C1D" w:rsidRDefault="00424C1D" w:rsidP="00424C1D">
      <w:pPr>
        <w:tabs>
          <w:tab w:val="clear" w:pos="720"/>
        </w:tabs>
        <w:suppressAutoHyphens w:val="0"/>
      </w:pPr>
      <w:r>
        <w:br w:type="page"/>
      </w:r>
    </w:p>
    <w:p w:rsidR="00424C1D" w:rsidRDefault="00424C1D" w:rsidP="00424C1D">
      <w:pPr>
        <w:pStyle w:val="Heading4"/>
      </w:pPr>
      <w:r>
        <w:lastRenderedPageBreak/>
        <w:t>Project: Desktop Virtualisation (Transform)</w:t>
      </w:r>
    </w:p>
    <w:p w:rsidR="00424C1D" w:rsidRDefault="00424C1D" w:rsidP="00424C1D">
      <w:pPr>
        <w:pStyle w:val="Textbody"/>
        <w:spacing w:after="0"/>
        <w:rPr>
          <w:b/>
          <w:sz w:val="20"/>
          <w:szCs w:val="20"/>
        </w:rPr>
      </w:pPr>
      <w:r>
        <w:rPr>
          <w:b/>
          <w:sz w:val="20"/>
          <w:szCs w:val="20"/>
        </w:rPr>
        <w:t>Infrastructure Category:  Open Access</w:t>
      </w:r>
    </w:p>
    <w:p w:rsidR="00424C1D" w:rsidRDefault="00424C1D" w:rsidP="00424C1D">
      <w:pPr>
        <w:pStyle w:val="Textbody"/>
        <w:spacing w:after="0"/>
      </w:pPr>
      <w:r w:rsidRPr="002047EB">
        <w:t xml:space="preserve">Delivery of virtualised desktops hosted in the data-centre to fixed user desktops.  This will support research into sensitive data, which cannot be allowed to leave a controlled environment, such as non-anonymised patient data. </w:t>
      </w:r>
      <w:proofErr w:type="gramStart"/>
      <w:r w:rsidRPr="002047EB">
        <w:t>An enabler to allow greater engagement with sensitive data whilst reducing risk of unauthorised disclosure.</w:t>
      </w:r>
      <w:proofErr w:type="gramEnd"/>
      <w:r w:rsidRPr="002047EB">
        <w:t xml:space="preserve"> There may be a longer term benefit in deploying the technology more widely as a cost reduction method by replacing desktops with cheaper “thin client” devices which have reduced capital cost and use less energy. Any such wider deployment would require full analysis of cost benefits which is not included in the current thinking. </w:t>
      </w:r>
      <w:proofErr w:type="gramStart"/>
      <w:r w:rsidRPr="002047EB">
        <w:t>Requires server infrastructure and appropriate software licensing.</w:t>
      </w:r>
      <w:proofErr w:type="gramEnd"/>
      <w:r>
        <w:t xml:space="preserve">  This project has been </w:t>
      </w:r>
      <w:proofErr w:type="spellStart"/>
      <w:r>
        <w:t>costed</w:t>
      </w:r>
      <w:proofErr w:type="spellEnd"/>
      <w:r>
        <w:t xml:space="preserve"> for a small deployment to meet a limited research use-case for sensitive access to medical data and for supporting a small number of medical placement students.</w:t>
      </w:r>
    </w:p>
    <w:tbl>
      <w:tblPr>
        <w:tblW w:w="0" w:type="auto"/>
        <w:tblInd w:w="197"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2126"/>
        <w:gridCol w:w="6266"/>
      </w:tblGrid>
      <w:tr w:rsidR="00424C1D" w:rsidTr="00424C1D">
        <w:trPr>
          <w:trHeight w:val="381"/>
        </w:trPr>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Goals</w:t>
            </w:r>
          </w:p>
        </w:tc>
        <w:tc>
          <w:tcPr>
            <w:tcW w:w="62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r>
              <w:rPr>
                <w:i/>
                <w:iCs/>
              </w:rPr>
              <w:t xml:space="preserve">Excellence In Research: </w:t>
            </w:r>
            <w:r w:rsidRPr="00616B50">
              <w:rPr>
                <w:bCs/>
              </w:rPr>
              <w:t>Support for Pioneering Research</w:t>
            </w:r>
          </w:p>
        </w:tc>
      </w:tr>
      <w:tr w:rsidR="00424C1D" w:rsidTr="00424C1D">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Enablers</w:t>
            </w:r>
          </w:p>
        </w:tc>
        <w:tc>
          <w:tcPr>
            <w:tcW w:w="62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r>
              <w:rPr>
                <w:i/>
                <w:iCs/>
              </w:rPr>
              <w:t xml:space="preserve">Finance: </w:t>
            </w:r>
            <w:r w:rsidRPr="0003161F">
              <w:rPr>
                <w:bCs/>
              </w:rPr>
              <w:t>Financial efficiency</w:t>
            </w:r>
          </w:p>
        </w:tc>
      </w:tr>
      <w:tr w:rsidR="00424C1D" w:rsidRPr="0003161F" w:rsidTr="00424C1D">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Themes</w:t>
            </w:r>
          </w:p>
        </w:tc>
        <w:tc>
          <w:tcPr>
            <w:tcW w:w="62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03161F" w:rsidRDefault="00424C1D" w:rsidP="00424C1D">
            <w:pPr>
              <w:pStyle w:val="TableContents"/>
            </w:pPr>
            <w:r>
              <w:rPr>
                <w:bCs/>
              </w:rPr>
              <w:t>Social Responsibility (Green IT)</w:t>
            </w:r>
          </w:p>
        </w:tc>
      </w:tr>
    </w:tbl>
    <w:p w:rsidR="00424C1D" w:rsidRDefault="00424C1D" w:rsidP="00424C1D">
      <w:pPr>
        <w:pStyle w:val="Textbody"/>
        <w:spacing w:after="0"/>
      </w:pPr>
    </w:p>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Desktop Virtualisation</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39</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13</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13</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52</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13</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Recurrent staff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Default="00424C1D" w:rsidP="00424C1D">
            <w:pPr>
              <w:pStyle w:val="Textbody"/>
            </w:pPr>
            <w:r>
              <w:t>Maintenance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3</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6</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6</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6</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AF40D6" w:rsidRDefault="00424C1D" w:rsidP="00424C1D">
            <w:pPr>
              <w:pStyle w:val="Textbody"/>
              <w:rPr>
                <w:sz w:val="8"/>
                <w:szCs w:val="8"/>
              </w:rPr>
            </w:pPr>
            <w:r w:rsidRPr="00AF40D6">
              <w:t>Depreciation Charge</w:t>
            </w:r>
            <w:r>
              <w:t xml:space="preserve"> (Central)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0</w:t>
            </w:r>
          </w:p>
        </w:tc>
        <w:tc>
          <w:tcPr>
            <w:tcW w:w="232"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9</w:t>
            </w:r>
          </w:p>
        </w:tc>
        <w:tc>
          <w:tcPr>
            <w:tcW w:w="266"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10</w:t>
            </w:r>
          </w:p>
        </w:tc>
        <w:tc>
          <w:tcPr>
            <w:tcW w:w="232"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10</w:t>
            </w:r>
          </w:p>
        </w:tc>
        <w:tc>
          <w:tcPr>
            <w:tcW w:w="236"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10</w:t>
            </w:r>
          </w:p>
        </w:tc>
      </w:tr>
    </w:tbl>
    <w:p w:rsidR="00424C1D" w:rsidRDefault="00424C1D" w:rsidP="00424C1D">
      <w:pPr>
        <w:pStyle w:val="Textbody"/>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Medium</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Medium</w:t>
            </w:r>
          </w:p>
        </w:tc>
      </w:tr>
    </w:tbl>
    <w:p w:rsidR="00424C1D" w:rsidRDefault="00424C1D" w:rsidP="00424C1D">
      <w:r>
        <w:br w:type="page"/>
      </w:r>
    </w:p>
    <w:p w:rsidR="00424C1D" w:rsidRDefault="00424C1D" w:rsidP="00424C1D">
      <w:pPr>
        <w:pStyle w:val="Heading4"/>
      </w:pPr>
      <w:r>
        <w:lastRenderedPageBreak/>
        <w:t xml:space="preserve">Project: </w:t>
      </w:r>
      <w:r w:rsidRPr="00B77E8C">
        <w:t>Private Cloud Provisioning</w:t>
      </w:r>
      <w:r>
        <w:t xml:space="preserve"> (Transform)</w:t>
      </w:r>
    </w:p>
    <w:p w:rsidR="00424C1D" w:rsidRDefault="00424C1D" w:rsidP="00424C1D">
      <w:pPr>
        <w:pStyle w:val="Textbody"/>
        <w:spacing w:after="0"/>
      </w:pPr>
      <w:r>
        <w:rPr>
          <w:b/>
          <w:sz w:val="20"/>
          <w:szCs w:val="20"/>
        </w:rPr>
        <w:t xml:space="preserve">Infrastructure Category:  </w:t>
      </w:r>
      <w:r w:rsidRPr="002B6C46">
        <w:rPr>
          <w:b/>
          <w:sz w:val="20"/>
          <w:szCs w:val="20"/>
        </w:rPr>
        <w:t>Hardware</w:t>
      </w:r>
    </w:p>
    <w:p w:rsidR="00424C1D" w:rsidRDefault="00424C1D" w:rsidP="00424C1D">
      <w:pPr>
        <w:pStyle w:val="Textbody"/>
        <w:spacing w:after="0"/>
        <w:rPr>
          <w:color w:val="auto"/>
        </w:rPr>
      </w:pPr>
      <w:r>
        <w:t>To p</w:t>
      </w:r>
      <w:r w:rsidRPr="001E584B">
        <w:t>rovide and open and agile server infrastructure, through deploymen</w:t>
      </w:r>
      <w:r>
        <w:t>t of private cloud technologies that will allow users to self-provision the services they require. This will remove one of the barriers to users duplicating infrastructure and will provide long term benefits of cost reduction to the University.</w:t>
      </w:r>
      <w:r w:rsidRPr="001E584B">
        <w:t xml:space="preserve"> Investment will be appliances </w:t>
      </w:r>
      <w:r>
        <w:t xml:space="preserve">or software layer.  </w:t>
      </w:r>
      <w:r w:rsidRPr="003B668C">
        <w:rPr>
          <w:color w:val="auto"/>
        </w:rPr>
        <w:t>This project will also deliver a free at point of use capacity to colleges to promote adoption of central provision</w:t>
      </w:r>
      <w:r>
        <w:rPr>
          <w:color w:val="auto"/>
        </w:rPr>
        <w:t>.</w:t>
      </w:r>
    </w:p>
    <w:tbl>
      <w:tblPr>
        <w:tblW w:w="0" w:type="auto"/>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rPr>
                <w:bCs/>
              </w:rPr>
            </w:pPr>
            <w:r>
              <w:rPr>
                <w:i/>
                <w:iCs/>
              </w:rPr>
              <w:t xml:space="preserve">Infrastructure: </w:t>
            </w:r>
            <w:r w:rsidRPr="00616B50">
              <w:rPr>
                <w:bCs/>
              </w:rPr>
              <w:t>Agile Infrastructure</w:t>
            </w:r>
          </w:p>
          <w:p w:rsidR="00424C1D" w:rsidRDefault="00424C1D" w:rsidP="00424C1D">
            <w:pPr>
              <w:pStyle w:val="TableContents"/>
              <w:spacing w:after="120"/>
            </w:pPr>
            <w:r>
              <w:rPr>
                <w:i/>
                <w:iCs/>
              </w:rPr>
              <w:t xml:space="preserve">Finance: </w:t>
            </w:r>
            <w:r w:rsidRPr="00616B50">
              <w:rPr>
                <w:bCs/>
              </w:rPr>
              <w:t>Financial efficiency</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r>
              <w:t>Social Responsibility (Green IT)</w:t>
            </w: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Private Cloud Provisioning</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100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100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100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100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Maintenance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15</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30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30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30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30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D3752D" w:rsidRDefault="00424C1D" w:rsidP="00424C1D">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0</w:t>
            </w:r>
          </w:p>
        </w:tc>
        <w:tc>
          <w:tcPr>
            <w:tcW w:w="232"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25</w:t>
            </w:r>
          </w:p>
        </w:tc>
        <w:tc>
          <w:tcPr>
            <w:tcW w:w="266"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50</w:t>
            </w:r>
          </w:p>
        </w:tc>
        <w:tc>
          <w:tcPr>
            <w:tcW w:w="232"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50</w:t>
            </w:r>
          </w:p>
        </w:tc>
        <w:tc>
          <w:tcPr>
            <w:tcW w:w="236"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50</w:t>
            </w:r>
          </w:p>
        </w:tc>
      </w:tr>
    </w:tbl>
    <w:p w:rsidR="00424C1D" w:rsidRPr="00B43BBF"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2020/21 is £25k</w:t>
      </w:r>
    </w:p>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Medium</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Medium</w:t>
            </w:r>
          </w:p>
        </w:tc>
      </w:tr>
    </w:tbl>
    <w:p w:rsidR="00424C1D" w:rsidRDefault="00424C1D" w:rsidP="00424C1D"/>
    <w:p w:rsidR="00424C1D" w:rsidRDefault="00424C1D" w:rsidP="00424C1D">
      <w:pPr>
        <w:tabs>
          <w:tab w:val="clear" w:pos="720"/>
        </w:tabs>
        <w:suppressAutoHyphens w:val="0"/>
      </w:pPr>
      <w:r>
        <w:br w:type="page"/>
      </w:r>
    </w:p>
    <w:p w:rsidR="00424C1D" w:rsidRDefault="00424C1D" w:rsidP="00424C1D">
      <w:pPr>
        <w:pStyle w:val="Heading4"/>
      </w:pPr>
      <w:r>
        <w:lastRenderedPageBreak/>
        <w:t xml:space="preserve">Project: </w:t>
      </w:r>
      <w:r w:rsidRPr="00AC1D83">
        <w:t>Data Science Services</w:t>
      </w:r>
      <w:r>
        <w:t xml:space="preserve"> (Transform)</w:t>
      </w:r>
    </w:p>
    <w:p w:rsidR="00424C1D" w:rsidRDefault="00424C1D" w:rsidP="00424C1D">
      <w:pPr>
        <w:pStyle w:val="Textbody"/>
        <w:spacing w:after="0"/>
        <w:rPr>
          <w:b/>
          <w:sz w:val="20"/>
          <w:szCs w:val="20"/>
        </w:rPr>
      </w:pPr>
      <w:r>
        <w:rPr>
          <w:b/>
          <w:sz w:val="20"/>
          <w:szCs w:val="20"/>
        </w:rPr>
        <w:t>Infrastructure Category:  Hardware</w:t>
      </w:r>
    </w:p>
    <w:p w:rsidR="00424C1D" w:rsidRDefault="00424C1D" w:rsidP="00424C1D">
      <w:pPr>
        <w:pStyle w:val="Textbody"/>
        <w:spacing w:after="0"/>
        <w:rPr>
          <w:color w:val="auto"/>
        </w:rPr>
      </w:pPr>
      <w:r>
        <w:t>To provide core infrastructure for flexible computational and data researcher services, in particular to address Data Science needs.  Services would be provided free-at-point-of-use, catering to 90% of use-cases across all three colleges. The infrastructure would support extension by researcher investment for use-cases not catered for</w:t>
      </w:r>
      <w:r w:rsidRPr="003B668C">
        <w:rPr>
          <w:color w:val="auto"/>
        </w:rPr>
        <w:t>.  This project would also support distance education initiatives in Data Science and on-line teaching of Data Analytics, and provide a platform to support external collaborations.</w:t>
      </w:r>
    </w:p>
    <w:p w:rsidR="00424C1D" w:rsidRDefault="00424C1D" w:rsidP="00424C1D">
      <w:pPr>
        <w:pStyle w:val="Textbody"/>
        <w:spacing w:after="0"/>
        <w:rPr>
          <w:color w:val="auto"/>
        </w:rPr>
      </w:pPr>
      <w:r>
        <w:rPr>
          <w:color w:val="auto"/>
        </w:rPr>
        <w:t xml:space="preserve">Further work is required to understand the services and platforms required by Data Science, and so these capital costs are very much initial estimates.  As such, the operational software maintenance and infrastructure staffing costs are also hard to predict.   </w:t>
      </w:r>
    </w:p>
    <w:tbl>
      <w:tblPr>
        <w:tblW w:w="0" w:type="auto"/>
        <w:tblInd w:w="103"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1038"/>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rPr>
                <w:bCs/>
              </w:rPr>
            </w:pPr>
            <w:r>
              <w:rPr>
                <w:i/>
                <w:iCs/>
              </w:rPr>
              <w:t xml:space="preserve">Excellence In Research: </w:t>
            </w:r>
            <w:r w:rsidRPr="00DE5074">
              <w:rPr>
                <w:bCs/>
              </w:rPr>
              <w:t>Support for Pioneering Research</w:t>
            </w:r>
          </w:p>
          <w:p w:rsidR="00424C1D" w:rsidRDefault="00424C1D" w:rsidP="00424C1D">
            <w:pPr>
              <w:pStyle w:val="TableContents"/>
            </w:pPr>
            <w:r>
              <w:rPr>
                <w:i/>
                <w:iCs/>
              </w:rPr>
              <w:t>Excellence in Education</w:t>
            </w:r>
            <w:r w:rsidRPr="00DE5074">
              <w:rPr>
                <w:i/>
                <w:iCs/>
              </w:rPr>
              <w:t xml:space="preserve">: </w:t>
            </w:r>
            <w:r w:rsidRPr="00DE5074">
              <w:rPr>
                <w:bCs/>
              </w:rPr>
              <w:t>New Technologies in Education</w:t>
            </w:r>
            <w:r>
              <w:rPr>
                <w:bCs/>
              </w:rPr>
              <w:t xml:space="preserve">; </w:t>
            </w:r>
            <w:r w:rsidRPr="00DE5074">
              <w:rPr>
                <w:bCs/>
              </w:rPr>
              <w:t>Distance Education Provision</w:t>
            </w:r>
          </w:p>
        </w:tc>
      </w:tr>
      <w:tr w:rsidR="00424C1D" w:rsidTr="00424C1D">
        <w:trPr>
          <w:trHeight w:val="596"/>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r w:rsidRPr="0003161F">
              <w:rPr>
                <w:bCs/>
                <w:i/>
              </w:rPr>
              <w:t>Infrastructure</w:t>
            </w:r>
            <w:r>
              <w:rPr>
                <w:bCs/>
              </w:rPr>
              <w:t xml:space="preserve">: </w:t>
            </w:r>
            <w:r w:rsidRPr="00576E67">
              <w:rPr>
                <w:bCs/>
              </w:rPr>
              <w:t>Infrastructure Power and Resilience</w:t>
            </w:r>
            <w:r>
              <w:rPr>
                <w:bCs/>
              </w:rPr>
              <w:t xml:space="preserve">;  </w:t>
            </w:r>
            <w:r w:rsidRPr="00616B50">
              <w:rPr>
                <w:bCs/>
              </w:rPr>
              <w:t>Responding to Future Technologies</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p>
        </w:tc>
      </w:tr>
    </w:tbl>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Data Science Services</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300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300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450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450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450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300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300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450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450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450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 xml:space="preserve">Operational </w:t>
            </w:r>
            <w:r>
              <w:rPr>
                <w:b/>
              </w:rPr>
              <w:t xml:space="preserve">Opportunity </w:t>
            </w:r>
            <w:r w:rsidRPr="00297742">
              <w:rPr>
                <w:b/>
              </w:rPr>
              <w:t>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Default="00424C1D" w:rsidP="00424C1D">
            <w:pPr>
              <w:pStyle w:val="Textbody"/>
            </w:pPr>
            <w:r>
              <w:t>Recurrent staff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100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B43BBF" w:rsidTr="00424C1D">
        <w:tc>
          <w:tcPr>
            <w:tcW w:w="3142" w:type="dxa"/>
            <w:tcBorders>
              <w:top w:val="single" w:sz="4" w:space="0" w:color="A6A6A6" w:themeColor="background1" w:themeShade="A6"/>
              <w:left w:val="nil"/>
              <w:right w:val="nil"/>
            </w:tcBorders>
          </w:tcPr>
          <w:p w:rsidR="00424C1D" w:rsidRPr="00D3752D" w:rsidRDefault="00424C1D" w:rsidP="00424C1D">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0</w:t>
            </w:r>
          </w:p>
        </w:tc>
        <w:tc>
          <w:tcPr>
            <w:tcW w:w="232"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75</w:t>
            </w:r>
          </w:p>
        </w:tc>
        <w:tc>
          <w:tcPr>
            <w:tcW w:w="266"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150</w:t>
            </w:r>
          </w:p>
        </w:tc>
        <w:tc>
          <w:tcPr>
            <w:tcW w:w="232"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262</w:t>
            </w:r>
          </w:p>
        </w:tc>
        <w:tc>
          <w:tcPr>
            <w:tcW w:w="236" w:type="dxa"/>
            <w:tcBorders>
              <w:top w:val="nil"/>
              <w:left w:val="nil"/>
              <w:bottom w:val="nil"/>
              <w:right w:val="nil"/>
            </w:tcBorders>
          </w:tcPr>
          <w:p w:rsidR="00424C1D" w:rsidRPr="00B43BBF" w:rsidRDefault="00424C1D" w:rsidP="00424C1D">
            <w:pPr>
              <w:pStyle w:val="Textbody"/>
            </w:pPr>
          </w:p>
        </w:tc>
        <w:tc>
          <w:tcPr>
            <w:tcW w:w="980" w:type="dxa"/>
            <w:tcBorders>
              <w:top w:val="single" w:sz="4" w:space="0" w:color="A6A6A6" w:themeColor="background1" w:themeShade="A6"/>
              <w:left w:val="nil"/>
              <w:right w:val="nil"/>
            </w:tcBorders>
          </w:tcPr>
          <w:p w:rsidR="00424C1D" w:rsidRPr="00B43BBF" w:rsidRDefault="00424C1D" w:rsidP="00424C1D">
            <w:pPr>
              <w:pStyle w:val="Textbody"/>
            </w:pPr>
            <w:r>
              <w:t>262</w:t>
            </w:r>
          </w:p>
        </w:tc>
      </w:tr>
    </w:tbl>
    <w:p w:rsidR="00424C1D" w:rsidRPr="00B43BBF"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2023/24 is £1.2m</w:t>
      </w:r>
    </w:p>
    <w:p w:rsidR="00424C1D" w:rsidRDefault="00424C1D" w:rsidP="00424C1D">
      <w:pPr>
        <w:pStyle w:val="Textbody"/>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Low</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Low</w:t>
            </w:r>
          </w:p>
        </w:tc>
      </w:tr>
    </w:tbl>
    <w:p w:rsidR="00424C1D" w:rsidRDefault="00424C1D" w:rsidP="00424C1D">
      <w:pPr>
        <w:pStyle w:val="Heading4"/>
      </w:pPr>
    </w:p>
    <w:p w:rsidR="00424C1D" w:rsidRPr="00C55EB7" w:rsidRDefault="00424C1D" w:rsidP="00C55EB7">
      <w:pPr>
        <w:pStyle w:val="Textbody"/>
        <w:rPr>
          <w:rFonts w:asciiTheme="majorHAnsi" w:eastAsiaTheme="majorEastAsia" w:hAnsiTheme="majorHAnsi" w:cstheme="majorBidi"/>
          <w:color w:val="4F81BD" w:themeColor="accent1"/>
        </w:rPr>
      </w:pPr>
    </w:p>
    <w:p w:rsidR="00424C1D" w:rsidRDefault="00424C1D" w:rsidP="00424C1D">
      <w:pPr>
        <w:tabs>
          <w:tab w:val="clear" w:pos="720"/>
        </w:tabs>
        <w:suppressAutoHyphens w:val="0"/>
      </w:pPr>
      <w:r>
        <w:br w:type="page"/>
      </w:r>
    </w:p>
    <w:p w:rsidR="00424C1D" w:rsidRDefault="00424C1D" w:rsidP="00424C1D">
      <w:pPr>
        <w:pStyle w:val="Heading4"/>
      </w:pPr>
      <w:r>
        <w:lastRenderedPageBreak/>
        <w:t>Project: Soft Phones (Transform)</w:t>
      </w:r>
    </w:p>
    <w:p w:rsidR="00424C1D" w:rsidRDefault="00424C1D" w:rsidP="00424C1D">
      <w:pPr>
        <w:pStyle w:val="Textbody"/>
        <w:spacing w:after="0"/>
      </w:pPr>
      <w:r>
        <w:rPr>
          <w:b/>
          <w:sz w:val="20"/>
          <w:szCs w:val="20"/>
        </w:rPr>
        <w:t xml:space="preserve">Infrastructure Category:  </w:t>
      </w:r>
      <w:r w:rsidRPr="002B6C46">
        <w:rPr>
          <w:b/>
          <w:sz w:val="20"/>
          <w:szCs w:val="20"/>
        </w:rPr>
        <w:t>Network</w:t>
      </w:r>
    </w:p>
    <w:p w:rsidR="00424C1D" w:rsidRDefault="00424C1D" w:rsidP="00424C1D">
      <w:r>
        <w:t xml:space="preserve">Linked to the transition to VoIP infrastructure, provide better integration of personal devices with the University’s phone system, such as provision of “soft-phone” apps for mobiles which allow incoming and outgoing calls to be routed via the University’s phone system.  Over time, this will reduce the need for fixed desktop phones equipment and improve service for staff who </w:t>
      </w:r>
      <w:proofErr w:type="gramStart"/>
      <w:r>
        <w:t>work</w:t>
      </w:r>
      <w:proofErr w:type="gramEnd"/>
      <w:r>
        <w:t xml:space="preserve"> in multiple locations.</w:t>
      </w:r>
    </w:p>
    <w:p w:rsidR="00424C1D" w:rsidRDefault="00424C1D" w:rsidP="00424C1D">
      <w:r>
        <w:rPr>
          <w:color w:val="auto"/>
        </w:rPr>
        <w:t xml:space="preserve">The capital costs for this project are included in the previous analogue to VoIP project where it is expected that licenses for soft phones will be included or offset against a reduced need for physical handsets. Operational cost impact is low as the majority of the activity will be through </w:t>
      </w:r>
      <w:proofErr w:type="spellStart"/>
      <w:r>
        <w:rPr>
          <w:color w:val="auto"/>
        </w:rPr>
        <w:t>self service</w:t>
      </w:r>
      <w:proofErr w:type="spellEnd"/>
      <w:r>
        <w:rPr>
          <w:color w:val="auto"/>
        </w:rPr>
        <w:t xml:space="preserve"> by the end users. Our help and support organisation, User Services Division, expect to meet any increase in demand for support from existing resources.</w:t>
      </w:r>
    </w:p>
    <w:p w:rsidR="00424C1D" w:rsidRDefault="00424C1D" w:rsidP="00424C1D"/>
    <w:tbl>
      <w:tblPr>
        <w:tblW w:w="0" w:type="auto"/>
        <w:tblInd w:w="-432" w:type="dxa"/>
        <w:tblCellMar>
          <w:left w:w="10" w:type="dxa"/>
          <w:right w:w="10" w:type="dxa"/>
        </w:tblCellMar>
        <w:tblLook w:val="04A0" w:firstRow="1" w:lastRow="0" w:firstColumn="1" w:lastColumn="0" w:noHBand="0" w:noVBand="1"/>
      </w:tblPr>
      <w:tblGrid>
        <w:gridCol w:w="381"/>
        <w:gridCol w:w="9293"/>
      </w:tblGrid>
      <w:tr w:rsidR="00424C1D" w:rsidTr="00424C1D">
        <w:tc>
          <w:tcPr>
            <w:tcW w:w="381" w:type="dxa"/>
            <w:shd w:val="clear" w:color="auto" w:fill="FFFFFF"/>
            <w:tcMar>
              <w:top w:w="0" w:type="dxa"/>
              <w:left w:w="108" w:type="dxa"/>
              <w:bottom w:w="0" w:type="dxa"/>
              <w:right w:w="108" w:type="dxa"/>
            </w:tcMar>
          </w:tcPr>
          <w:p w:rsidR="00424C1D" w:rsidRDefault="00424C1D" w:rsidP="00424C1D">
            <w:pPr>
              <w:pStyle w:val="ListParagraph"/>
              <w:numPr>
                <w:ilvl w:val="0"/>
                <w:numId w:val="3"/>
              </w:numPr>
            </w:pPr>
            <w:r>
              <w:br w:type="page"/>
            </w:r>
          </w:p>
        </w:tc>
        <w:tc>
          <w:tcPr>
            <w:tcW w:w="9293" w:type="dxa"/>
            <w:shd w:val="clear" w:color="auto" w:fill="FFFFFF"/>
            <w:tcMar>
              <w:top w:w="0" w:type="dxa"/>
              <w:left w:w="108" w:type="dxa"/>
              <w:bottom w:w="0" w:type="dxa"/>
              <w:right w:w="108" w:type="dxa"/>
            </w:tcMar>
          </w:tcPr>
          <w:tbl>
            <w:tblPr>
              <w:tblW w:w="0" w:type="auto"/>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03"/>
              <w:gridCol w:w="6557"/>
            </w:tblGrid>
            <w:tr w:rsidR="00424C1D" w:rsidTr="00424C1D">
              <w:trPr>
                <w:trHeight w:val="381"/>
              </w:trPr>
              <w:tc>
                <w:tcPr>
                  <w:tcW w:w="19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Goals</w:t>
                  </w:r>
                </w:p>
              </w:tc>
              <w:tc>
                <w:tcPr>
                  <w:tcW w:w="65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p>
              </w:tc>
            </w:tr>
            <w:tr w:rsidR="00424C1D" w:rsidTr="00424C1D">
              <w:tc>
                <w:tcPr>
                  <w:tcW w:w="1903"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Enablers</w:t>
                  </w:r>
                </w:p>
              </w:tc>
              <w:tc>
                <w:tcPr>
                  <w:tcW w:w="65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B80B9B" w:rsidRDefault="00424C1D" w:rsidP="00424C1D">
                  <w:pPr>
                    <w:pStyle w:val="TableContents"/>
                    <w:rPr>
                      <w:bCs/>
                    </w:rPr>
                  </w:pPr>
                  <w:r>
                    <w:rPr>
                      <w:bCs/>
                      <w:i/>
                    </w:rPr>
                    <w:t xml:space="preserve">People: </w:t>
                  </w:r>
                  <w:r>
                    <w:rPr>
                      <w:bCs/>
                    </w:rPr>
                    <w:t>Promoting flexible and interdisciplinary working</w:t>
                  </w:r>
                </w:p>
              </w:tc>
            </w:tr>
            <w:tr w:rsidR="00424C1D" w:rsidTr="00424C1D">
              <w:tc>
                <w:tcPr>
                  <w:tcW w:w="1903"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Themes</w:t>
                  </w:r>
                </w:p>
              </w:tc>
              <w:tc>
                <w:tcPr>
                  <w:tcW w:w="65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p>
              </w:tc>
            </w:tr>
          </w:tbl>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High</w:t>
                  </w:r>
                </w:p>
              </w:tc>
            </w:tr>
          </w:tbl>
          <w:p w:rsidR="00424C1D" w:rsidRDefault="00424C1D" w:rsidP="00424C1D">
            <w:pPr>
              <w:pStyle w:val="Textbody"/>
              <w:spacing w:after="0"/>
            </w:pPr>
          </w:p>
        </w:tc>
      </w:tr>
    </w:tbl>
    <w:p w:rsidR="00424C1D" w:rsidRDefault="00424C1D" w:rsidP="00424C1D">
      <w:pPr>
        <w:tabs>
          <w:tab w:val="clear" w:pos="720"/>
        </w:tabs>
        <w:suppressAutoHyphens w:val="0"/>
      </w:pPr>
    </w:p>
    <w:p w:rsidR="00424C1D" w:rsidRPr="00295910" w:rsidRDefault="00C55EB7" w:rsidP="00C55EB7">
      <w:pPr>
        <w:keepNext/>
        <w:keepLines/>
        <w:spacing w:before="200" w:after="0"/>
        <w:outlineLvl w:val="3"/>
        <w:rPr>
          <w:rFonts w:asciiTheme="minorHAnsi" w:eastAsiaTheme="minorHAnsi" w:hAnsiTheme="minorHAnsi" w:cstheme="minorBidi"/>
          <w:color w:val="auto"/>
        </w:rPr>
      </w:pPr>
      <w:r w:rsidRPr="00295910">
        <w:rPr>
          <w:rFonts w:asciiTheme="minorHAnsi" w:eastAsiaTheme="minorHAnsi" w:hAnsiTheme="minorHAnsi" w:cstheme="minorBidi"/>
          <w:color w:val="auto"/>
        </w:rPr>
        <w:t xml:space="preserve"> </w:t>
      </w:r>
    </w:p>
    <w:p w:rsidR="00424C1D" w:rsidRPr="004837F5" w:rsidRDefault="00424C1D" w:rsidP="00424C1D">
      <w:pPr>
        <w:tabs>
          <w:tab w:val="clear" w:pos="720"/>
        </w:tabs>
        <w:suppressAutoHyphens w:val="0"/>
      </w:pPr>
      <w:r>
        <w:br w:type="page"/>
      </w:r>
    </w:p>
    <w:p w:rsidR="00424C1D" w:rsidRDefault="00424C1D" w:rsidP="00424C1D">
      <w:pPr>
        <w:pStyle w:val="Heading4"/>
      </w:pPr>
      <w:r>
        <w:lastRenderedPageBreak/>
        <w:t>Project: Unified communications (Transform)</w:t>
      </w:r>
    </w:p>
    <w:p w:rsidR="00424C1D" w:rsidRDefault="00424C1D" w:rsidP="00424C1D">
      <w:pPr>
        <w:pStyle w:val="Textbody"/>
        <w:spacing w:after="0"/>
      </w:pPr>
      <w:r>
        <w:rPr>
          <w:b/>
          <w:sz w:val="20"/>
          <w:szCs w:val="20"/>
        </w:rPr>
        <w:t xml:space="preserve">Infrastructure Category:  </w:t>
      </w:r>
      <w:r w:rsidRPr="002B6C46">
        <w:rPr>
          <w:b/>
          <w:sz w:val="20"/>
          <w:szCs w:val="20"/>
        </w:rPr>
        <w:t>Network</w:t>
      </w:r>
    </w:p>
    <w:p w:rsidR="00424C1D" w:rsidRDefault="00424C1D" w:rsidP="00424C1D">
      <w:pPr>
        <w:pStyle w:val="Textbody"/>
        <w:spacing w:after="0"/>
      </w:pPr>
      <w:r w:rsidRPr="002047EB">
        <w:t>Pr</w:t>
      </w:r>
      <w:r>
        <w:t>ovide integration of telephony with on-line communications technologies, integrating video, voice and instant messaging. We believe that demand for this kind of service will grow as staff and students experience using these services in other settings and become more comfortable with the benefits of improved collaboration that can be achieved with multi modal integrated communications.</w:t>
      </w:r>
    </w:p>
    <w:p w:rsidR="00424C1D" w:rsidRDefault="00424C1D" w:rsidP="00424C1D">
      <w:r>
        <w:t>Capital costs are for data-centre infrastructure and licenses.</w:t>
      </w:r>
    </w:p>
    <w:tbl>
      <w:tblPr>
        <w:tblW w:w="0" w:type="auto"/>
        <w:tblInd w:w="103"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rPr>
                <w:bCs/>
              </w:rPr>
            </w:pPr>
            <w:r>
              <w:rPr>
                <w:i/>
                <w:iCs/>
              </w:rPr>
              <w:t xml:space="preserve">Infrastructure: </w:t>
            </w:r>
            <w:r w:rsidRPr="00076921">
              <w:rPr>
                <w:bCs/>
              </w:rPr>
              <w:t>Responding to Future Technologies</w:t>
            </w:r>
          </w:p>
          <w:p w:rsidR="00424C1D" w:rsidRDefault="00424C1D" w:rsidP="00424C1D">
            <w:pPr>
              <w:pStyle w:val="TableContents"/>
              <w:spacing w:after="120"/>
            </w:pPr>
            <w:r w:rsidRPr="00CD25D2">
              <w:rPr>
                <w:bCs/>
                <w:i/>
              </w:rPr>
              <w:t>People</w:t>
            </w:r>
            <w:r>
              <w:rPr>
                <w:bCs/>
              </w:rPr>
              <w:t>: Promoting Flexible and interdisciplinary working</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Unified Communications</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1,000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1,000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1,000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1,000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Operational 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Recurrent staffing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50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50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5338CE" w:rsidRDefault="00424C1D" w:rsidP="00424C1D">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0</w:t>
            </w:r>
          </w:p>
        </w:tc>
        <w:tc>
          <w:tcPr>
            <w:tcW w:w="232"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0</w:t>
            </w:r>
          </w:p>
        </w:tc>
        <w:tc>
          <w:tcPr>
            <w:tcW w:w="266"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0</w:t>
            </w:r>
          </w:p>
        </w:tc>
        <w:tc>
          <w:tcPr>
            <w:tcW w:w="232"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0</w:t>
            </w:r>
          </w:p>
        </w:tc>
        <w:tc>
          <w:tcPr>
            <w:tcW w:w="236"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250</w:t>
            </w:r>
          </w:p>
        </w:tc>
      </w:tr>
    </w:tbl>
    <w:p w:rsidR="00424C1D" w:rsidRDefault="00424C1D" w:rsidP="00424C1D">
      <w:pPr>
        <w:pStyle w:val="Textbody"/>
        <w:tabs>
          <w:tab w:val="clear" w:pos="720"/>
        </w:tabs>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2023/24 is £1.75m</w:t>
      </w:r>
    </w:p>
    <w:p w:rsidR="00424C1D" w:rsidRPr="00DC17F7" w:rsidRDefault="00424C1D" w:rsidP="00424C1D">
      <w:pPr>
        <w:pStyle w:val="Textbody"/>
        <w:tabs>
          <w:tab w:val="clear" w:pos="720"/>
        </w:tabs>
        <w:ind w:left="72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Low</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Low</w:t>
            </w:r>
          </w:p>
        </w:tc>
      </w:tr>
    </w:tbl>
    <w:p w:rsidR="00424C1D" w:rsidRDefault="00424C1D" w:rsidP="00424C1D">
      <w:pPr>
        <w:tabs>
          <w:tab w:val="clear" w:pos="720"/>
        </w:tabs>
        <w:suppressAutoHyphens w:val="0"/>
      </w:pPr>
    </w:p>
    <w:p w:rsidR="00424C1D" w:rsidRDefault="00424C1D" w:rsidP="00424C1D">
      <w:pPr>
        <w:tabs>
          <w:tab w:val="clear" w:pos="720"/>
        </w:tabs>
        <w:suppressAutoHyphens w:val="0"/>
        <w:rPr>
          <w:rFonts w:asciiTheme="majorHAnsi" w:eastAsiaTheme="majorEastAsia" w:hAnsiTheme="majorHAnsi" w:cstheme="majorBidi"/>
          <w:b/>
          <w:bCs/>
          <w:i/>
          <w:iCs/>
          <w:color w:val="4F81BD" w:themeColor="accent1"/>
        </w:rPr>
      </w:pPr>
      <w:r>
        <w:br w:type="page"/>
      </w:r>
    </w:p>
    <w:p w:rsidR="00424C1D" w:rsidRDefault="00424C1D" w:rsidP="00424C1D">
      <w:pPr>
        <w:pStyle w:val="Heading4"/>
      </w:pPr>
      <w:r>
        <w:lastRenderedPageBreak/>
        <w:t xml:space="preserve">Project: </w:t>
      </w:r>
      <w:r w:rsidRPr="00B77E8C">
        <w:t xml:space="preserve">Increase </w:t>
      </w:r>
      <w:proofErr w:type="spellStart"/>
      <w:r>
        <w:t>W</w:t>
      </w:r>
      <w:r w:rsidRPr="00B77E8C">
        <w:t>ifi</w:t>
      </w:r>
      <w:proofErr w:type="spellEnd"/>
      <w:r w:rsidRPr="00B77E8C">
        <w:t xml:space="preserve"> density to meet hotspot needs</w:t>
      </w:r>
      <w:r>
        <w:t xml:space="preserve"> (Transform)</w:t>
      </w:r>
    </w:p>
    <w:p w:rsidR="00424C1D" w:rsidRDefault="00424C1D" w:rsidP="00424C1D">
      <w:pPr>
        <w:pStyle w:val="Textbody"/>
        <w:spacing w:after="0"/>
      </w:pPr>
      <w:r>
        <w:rPr>
          <w:b/>
          <w:sz w:val="20"/>
          <w:szCs w:val="20"/>
        </w:rPr>
        <w:t xml:space="preserve">Infrastructure Category:  </w:t>
      </w:r>
      <w:r w:rsidRPr="002B6C46">
        <w:rPr>
          <w:b/>
          <w:sz w:val="20"/>
          <w:szCs w:val="20"/>
        </w:rPr>
        <w:t>Network</w:t>
      </w:r>
    </w:p>
    <w:p w:rsidR="00424C1D" w:rsidRDefault="00424C1D" w:rsidP="00424C1D">
      <w:pPr>
        <w:pStyle w:val="Textbody"/>
        <w:spacing w:after="0"/>
      </w:pPr>
      <w:r>
        <w:t xml:space="preserve">Enable mass usage in settings like lecture theatres and library study space. We expect students to use their own mobile devices for tasks like viewing content, voting in lectures (replace clickers), </w:t>
      </w:r>
      <w:proofErr w:type="gramStart"/>
      <w:r>
        <w:t>tweeting</w:t>
      </w:r>
      <w:proofErr w:type="gramEnd"/>
      <w:r>
        <w:t xml:space="preserve"> their impressions, as well as checking information and the backchat between themselves. This project will provide the infrastructure in specific areas to support these use case.</w:t>
      </w:r>
    </w:p>
    <w:p w:rsidR="00424C1D" w:rsidRDefault="00424C1D" w:rsidP="00424C1D">
      <w:pPr>
        <w:pStyle w:val="Textbody"/>
        <w:spacing w:after="0"/>
      </w:pPr>
    </w:p>
    <w:p w:rsidR="00424C1D" w:rsidRDefault="00424C1D" w:rsidP="00424C1D">
      <w:r>
        <w:t xml:space="preserve">Capital costs are for </w:t>
      </w:r>
    </w:p>
    <w:tbl>
      <w:tblPr>
        <w:tblW w:w="0" w:type="auto"/>
        <w:tblInd w:w="103"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r>
              <w:rPr>
                <w:i/>
                <w:iCs/>
              </w:rPr>
              <w:t xml:space="preserve">Excellence in Education: </w:t>
            </w:r>
            <w:r w:rsidRPr="00076921">
              <w:rPr>
                <w:bCs/>
              </w:rPr>
              <w:t>New Technologies in Education</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pPr>
            <w:r w:rsidRPr="00076921">
              <w:rPr>
                <w:i/>
              </w:rPr>
              <w:t>Infrastructure</w:t>
            </w:r>
            <w:r>
              <w:t xml:space="preserve">: </w:t>
            </w:r>
            <w:r w:rsidRPr="00076921">
              <w:rPr>
                <w:bCs/>
              </w:rPr>
              <w:t>: Infrastructure Power and Resilience</w:t>
            </w: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076921" w:rsidRDefault="00424C1D" w:rsidP="00424C1D">
            <w:pPr>
              <w:pStyle w:val="TableContents"/>
            </w:pPr>
            <w:r w:rsidRPr="00076921">
              <w:rPr>
                <w:bCs/>
              </w:rPr>
              <w:t>Outstanding Student Experience</w:t>
            </w: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 xml:space="preserve">Increase </w:t>
            </w:r>
            <w:proofErr w:type="spellStart"/>
            <w:r>
              <w:rPr>
                <w:b/>
              </w:rPr>
              <w:t>Wifi</w:t>
            </w:r>
            <w:proofErr w:type="spellEnd"/>
            <w:r>
              <w:rPr>
                <w:b/>
              </w:rPr>
              <w:t xml:space="preserve"> density</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30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30</w:t>
            </w:r>
          </w:p>
        </w:tc>
      </w:tr>
      <w:tr w:rsidR="00424C1D" w:rsidTr="00424C1D">
        <w:trPr>
          <w:trHeight w:val="117"/>
        </w:trPr>
        <w:tc>
          <w:tcPr>
            <w:tcW w:w="3142" w:type="dxa"/>
            <w:tcBorders>
              <w:top w:val="single" w:sz="4" w:space="0" w:color="auto"/>
              <w:left w:val="nil"/>
              <w:bottom w:val="single" w:sz="4" w:space="0" w:color="auto"/>
              <w:right w:val="nil"/>
            </w:tcBorders>
          </w:tcPr>
          <w:p w:rsidR="00424C1D" w:rsidRPr="00297742" w:rsidRDefault="00424C1D" w:rsidP="00424C1D">
            <w:pPr>
              <w:pStyle w:val="Textbody"/>
              <w:spacing w:after="0"/>
              <w:rPr>
                <w:b/>
              </w:rPr>
            </w:pPr>
            <w:r w:rsidRPr="00297742">
              <w:rPr>
                <w:b/>
              </w:rPr>
              <w:t>Operational 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Non recurrent staff costs (IS)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10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auto"/>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 identified</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5338CE" w:rsidRDefault="00424C1D" w:rsidP="00424C1D">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0</w:t>
            </w:r>
          </w:p>
        </w:tc>
        <w:tc>
          <w:tcPr>
            <w:tcW w:w="232"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8</w:t>
            </w:r>
          </w:p>
        </w:tc>
        <w:tc>
          <w:tcPr>
            <w:tcW w:w="266"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15</w:t>
            </w:r>
          </w:p>
        </w:tc>
        <w:tc>
          <w:tcPr>
            <w:tcW w:w="232"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22</w:t>
            </w:r>
          </w:p>
        </w:tc>
        <w:tc>
          <w:tcPr>
            <w:tcW w:w="236"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30</w:t>
            </w:r>
          </w:p>
        </w:tc>
      </w:tr>
    </w:tbl>
    <w:p w:rsidR="00424C1D" w:rsidRPr="00DC17F7"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2023/24 is £75k</w:t>
      </w:r>
    </w:p>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High</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Medium</w:t>
            </w:r>
          </w:p>
        </w:tc>
      </w:tr>
    </w:tbl>
    <w:p w:rsidR="00424C1D" w:rsidRDefault="00424C1D" w:rsidP="00424C1D"/>
    <w:p w:rsidR="00424C1D" w:rsidRDefault="00424C1D" w:rsidP="00424C1D">
      <w:pPr>
        <w:tabs>
          <w:tab w:val="clear" w:pos="720"/>
        </w:tabs>
        <w:suppressAutoHyphens w:val="0"/>
        <w:rPr>
          <w:rFonts w:asciiTheme="majorHAnsi" w:eastAsiaTheme="majorEastAsia" w:hAnsiTheme="majorHAnsi" w:cstheme="majorBidi"/>
          <w:b/>
          <w:bCs/>
          <w:i/>
          <w:iCs/>
          <w:color w:val="4F81BD" w:themeColor="accent1"/>
        </w:rPr>
      </w:pPr>
      <w:r>
        <w:br w:type="page"/>
      </w:r>
    </w:p>
    <w:p w:rsidR="00424C1D" w:rsidRDefault="00424C1D" w:rsidP="00424C1D">
      <w:pPr>
        <w:pStyle w:val="Heading4"/>
      </w:pPr>
      <w:r>
        <w:lastRenderedPageBreak/>
        <w:t xml:space="preserve">Project: </w:t>
      </w:r>
      <w:r w:rsidRPr="00941D2E">
        <w:t>External Wireless</w:t>
      </w:r>
      <w:r>
        <w:t xml:space="preserve"> (Transform)</w:t>
      </w:r>
    </w:p>
    <w:p w:rsidR="00424C1D" w:rsidRDefault="00424C1D" w:rsidP="00424C1D">
      <w:pPr>
        <w:pStyle w:val="Textbody"/>
        <w:spacing w:after="0"/>
      </w:pPr>
      <w:r>
        <w:rPr>
          <w:b/>
          <w:sz w:val="20"/>
          <w:szCs w:val="20"/>
        </w:rPr>
        <w:t xml:space="preserve">Infrastructure Category:  </w:t>
      </w:r>
      <w:r w:rsidRPr="002B6C46">
        <w:rPr>
          <w:b/>
          <w:sz w:val="20"/>
          <w:szCs w:val="20"/>
        </w:rPr>
        <w:t>Network</w:t>
      </w:r>
    </w:p>
    <w:p w:rsidR="00424C1D" w:rsidRDefault="00424C1D" w:rsidP="00424C1D">
      <w:pPr>
        <w:pStyle w:val="Textbody"/>
        <w:spacing w:after="0"/>
      </w:pPr>
      <w:r>
        <w:t xml:space="preserve">To provide wireless, </w:t>
      </w:r>
      <w:proofErr w:type="spellStart"/>
      <w:r>
        <w:t>eduroam</w:t>
      </w:r>
      <w:proofErr w:type="spellEnd"/>
      <w:r>
        <w:t xml:space="preserve">, in outside space on campus and in the local </w:t>
      </w:r>
      <w:r w:rsidRPr="00AD0753">
        <w:t>area</w:t>
      </w:r>
      <w:r>
        <w:t xml:space="preserve">, café bars, etc. </w:t>
      </w:r>
      <w:proofErr w:type="gramStart"/>
      <w:r>
        <w:t>Driven particularly by student experience and expectation that they should be able to use wireless at all times.</w:t>
      </w:r>
      <w:proofErr w:type="gramEnd"/>
      <w:r>
        <w:t xml:space="preserve"> This may be a project that is overtaken by delivery of high speed data to mobile devices (4G)</w:t>
      </w:r>
      <w:proofErr w:type="gramStart"/>
      <w:r>
        <w:t>,</w:t>
      </w:r>
      <w:proofErr w:type="gramEnd"/>
      <w:r>
        <w:t xml:space="preserve"> it is recommended that the requirement is reviewed over time.</w:t>
      </w:r>
    </w:p>
    <w:p w:rsidR="00424C1D" w:rsidRDefault="00424C1D" w:rsidP="00424C1D">
      <w:pPr>
        <w:pStyle w:val="Textbody"/>
        <w:spacing w:after="0"/>
      </w:pPr>
    </w:p>
    <w:p w:rsidR="00424C1D" w:rsidRDefault="00424C1D" w:rsidP="00424C1D">
      <w:r>
        <w:t>Capital is for contractor effort to install external wireless and for wireless infrastructure.</w:t>
      </w:r>
    </w:p>
    <w:tbl>
      <w:tblPr>
        <w:tblW w:w="0" w:type="auto"/>
        <w:tblInd w:w="103"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1995"/>
        <w:gridCol w:w="7026"/>
      </w:tblGrid>
      <w:tr w:rsidR="00424C1D" w:rsidTr="00424C1D">
        <w:trPr>
          <w:trHeight w:val="381"/>
        </w:trPr>
        <w:tc>
          <w:tcPr>
            <w:tcW w:w="1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Goals</w:t>
            </w:r>
          </w:p>
        </w:tc>
        <w:tc>
          <w:tcPr>
            <w:tcW w:w="7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Enablers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Default="00424C1D" w:rsidP="00424C1D">
            <w:pPr>
              <w:pStyle w:val="TableContents"/>
              <w:spacing w:after="120"/>
            </w:pPr>
          </w:p>
        </w:tc>
      </w:tr>
      <w:tr w:rsidR="00424C1D" w:rsidTr="00424C1D">
        <w:tc>
          <w:tcPr>
            <w:tcW w:w="1995" w:type="dxa"/>
            <w:tcBorders>
              <w:left w:val="single" w:sz="2" w:space="0" w:color="000000"/>
              <w:bottom w:val="single" w:sz="2" w:space="0" w:color="000000"/>
            </w:tcBorders>
            <w:shd w:val="clear" w:color="auto" w:fill="auto"/>
            <w:tcMar>
              <w:top w:w="55" w:type="dxa"/>
              <w:left w:w="55" w:type="dxa"/>
              <w:bottom w:w="55" w:type="dxa"/>
              <w:right w:w="55" w:type="dxa"/>
            </w:tcMar>
          </w:tcPr>
          <w:p w:rsidR="00424C1D" w:rsidRPr="002047EB" w:rsidRDefault="00424C1D" w:rsidP="00424C1D">
            <w:pPr>
              <w:pStyle w:val="TableContents"/>
              <w:spacing w:after="120"/>
              <w:rPr>
                <w:b/>
              </w:rPr>
            </w:pPr>
            <w:r w:rsidRPr="002047EB">
              <w:rPr>
                <w:b/>
              </w:rPr>
              <w:t>Strategic Themes</w:t>
            </w:r>
          </w:p>
        </w:tc>
        <w:tc>
          <w:tcPr>
            <w:tcW w:w="7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4C1D" w:rsidRPr="004E4784" w:rsidRDefault="00424C1D" w:rsidP="00424C1D">
            <w:pPr>
              <w:pStyle w:val="TableContents"/>
              <w:spacing w:after="120"/>
            </w:pPr>
            <w:r w:rsidRPr="004E4784">
              <w:rPr>
                <w:bCs/>
              </w:rPr>
              <w:t>Outstanding Student Experience</w:t>
            </w:r>
          </w:p>
        </w:tc>
      </w:tr>
    </w:tbl>
    <w:p w:rsidR="00424C1D" w:rsidRDefault="00424C1D" w:rsidP="00424C1D">
      <w:pPr>
        <w:pStyle w:val="Textbody"/>
      </w:pPr>
    </w:p>
    <w:tbl>
      <w:tblPr>
        <w:tblStyle w:val="TableGrid"/>
        <w:tblW w:w="0" w:type="auto"/>
        <w:tblLook w:val="04A0" w:firstRow="1" w:lastRow="0" w:firstColumn="1" w:lastColumn="0" w:noHBand="0" w:noVBand="1"/>
      </w:tblPr>
      <w:tblGrid>
        <w:gridCol w:w="3142"/>
        <w:gridCol w:w="234"/>
        <w:gridCol w:w="980"/>
        <w:gridCol w:w="232"/>
        <w:gridCol w:w="980"/>
        <w:gridCol w:w="266"/>
        <w:gridCol w:w="980"/>
        <w:gridCol w:w="232"/>
        <w:gridCol w:w="980"/>
        <w:gridCol w:w="236"/>
        <w:gridCol w:w="980"/>
      </w:tblGrid>
      <w:tr w:rsidR="00424C1D" w:rsidTr="00424C1D">
        <w:tc>
          <w:tcPr>
            <w:tcW w:w="3142" w:type="dxa"/>
            <w:tcBorders>
              <w:left w:val="nil"/>
              <w:right w:val="nil"/>
            </w:tcBorders>
          </w:tcPr>
          <w:p w:rsidR="00424C1D" w:rsidRDefault="00424C1D" w:rsidP="00424C1D">
            <w:pPr>
              <w:pStyle w:val="Textbody"/>
              <w:spacing w:after="0"/>
              <w:rPr>
                <w:b/>
              </w:rPr>
            </w:pPr>
            <w:r>
              <w:rPr>
                <w:b/>
              </w:rPr>
              <w:t>External Wireless</w:t>
            </w:r>
          </w:p>
          <w:p w:rsidR="00424C1D" w:rsidRPr="00AF40D6" w:rsidRDefault="00424C1D" w:rsidP="00424C1D">
            <w:pPr>
              <w:pStyle w:val="Textbody"/>
              <w:spacing w:after="0"/>
              <w:rPr>
                <w:b/>
              </w:rPr>
            </w:pPr>
            <w:r>
              <w:rPr>
                <w:b/>
              </w:rPr>
              <w:t>Project Expenditure</w:t>
            </w:r>
          </w:p>
        </w:tc>
        <w:tc>
          <w:tcPr>
            <w:tcW w:w="234"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left w:val="nil"/>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left w:val="nil"/>
              <w:bottom w:val="single" w:sz="4" w:space="0" w:color="BFBFBF" w:themeColor="background1" w:themeShade="BF"/>
              <w:right w:val="nil"/>
            </w:tcBorders>
          </w:tcPr>
          <w:p w:rsidR="00424C1D" w:rsidRPr="00AF40D6" w:rsidRDefault="00424C1D" w:rsidP="00424C1D">
            <w:pPr>
              <w:pStyle w:val="Textbody"/>
            </w:pPr>
            <w:r w:rsidRPr="00AF40D6">
              <w:t>Capital</w:t>
            </w:r>
            <w:r>
              <w:t xml:space="preserv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280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280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280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280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left w:val="nil"/>
              <w:bottom w:val="single" w:sz="4" w:space="0" w:color="BFBFBF" w:themeColor="background1" w:themeShade="BF"/>
              <w:right w:val="nil"/>
            </w:tcBorders>
          </w:tcPr>
          <w:p w:rsidR="00424C1D" w:rsidRPr="00AF40D6" w:rsidRDefault="00424C1D" w:rsidP="00424C1D">
            <w:pPr>
              <w:pStyle w:val="Textbody"/>
            </w:pPr>
            <w:r>
              <w:t>280</w:t>
            </w:r>
          </w:p>
        </w:tc>
      </w:tr>
      <w:tr w:rsidR="00424C1D" w:rsidTr="00424C1D">
        <w:tc>
          <w:tcPr>
            <w:tcW w:w="3142"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Revenue project expenditure</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BFBFBF" w:themeColor="background1" w:themeShade="BF"/>
              <w:right w:val="nil"/>
            </w:tcBorders>
          </w:tcPr>
          <w:p w:rsidR="00424C1D" w:rsidRPr="00AF40D6" w:rsidRDefault="00424C1D" w:rsidP="00424C1D">
            <w:pPr>
              <w:pStyle w:val="Textbody"/>
            </w:pPr>
            <w:r>
              <w:t>0</w:t>
            </w:r>
          </w:p>
        </w:tc>
      </w:tr>
      <w:tr w:rsidR="00424C1D" w:rsidTr="00424C1D">
        <w:tc>
          <w:tcPr>
            <w:tcW w:w="3142"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sidRPr="00AF40D6">
              <w:rPr>
                <w:b/>
              </w:rPr>
              <w:t xml:space="preserve">Total </w:t>
            </w:r>
            <w:r>
              <w:rPr>
                <w:b/>
              </w:rPr>
              <w:t>project expenditure</w:t>
            </w:r>
          </w:p>
        </w:tc>
        <w:tc>
          <w:tcPr>
            <w:tcW w:w="234"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280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280</w:t>
            </w:r>
          </w:p>
        </w:tc>
        <w:tc>
          <w:tcPr>
            <w:tcW w:w="26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280</w:t>
            </w:r>
          </w:p>
        </w:tc>
        <w:tc>
          <w:tcPr>
            <w:tcW w:w="232"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280</w:t>
            </w:r>
          </w:p>
        </w:tc>
        <w:tc>
          <w:tcPr>
            <w:tcW w:w="236" w:type="dxa"/>
            <w:tcBorders>
              <w:top w:val="nil"/>
              <w:left w:val="nil"/>
              <w:bottom w:val="nil"/>
              <w:right w:val="nil"/>
            </w:tcBorders>
          </w:tcPr>
          <w:p w:rsidR="00424C1D" w:rsidRPr="00AF40D6" w:rsidRDefault="00424C1D" w:rsidP="00424C1D">
            <w:pPr>
              <w:pStyle w:val="Textbody"/>
              <w:rPr>
                <w:b/>
              </w:rPr>
            </w:pPr>
          </w:p>
        </w:tc>
        <w:tc>
          <w:tcPr>
            <w:tcW w:w="980" w:type="dxa"/>
            <w:tcBorders>
              <w:top w:val="single" w:sz="4" w:space="0" w:color="BFBFBF" w:themeColor="background1" w:themeShade="BF"/>
              <w:left w:val="nil"/>
              <w:bottom w:val="single" w:sz="4" w:space="0" w:color="auto"/>
              <w:right w:val="nil"/>
            </w:tcBorders>
          </w:tcPr>
          <w:p w:rsidR="00424C1D" w:rsidRPr="00AF40D6" w:rsidRDefault="00424C1D" w:rsidP="00424C1D">
            <w:pPr>
              <w:pStyle w:val="Textbody"/>
              <w:rPr>
                <w:b/>
              </w:rPr>
            </w:pPr>
            <w:r>
              <w:rPr>
                <w:b/>
              </w:rPr>
              <w:t>280</w:t>
            </w:r>
          </w:p>
        </w:tc>
      </w:tr>
      <w:tr w:rsidR="00424C1D" w:rsidTr="00424C1D">
        <w:trPr>
          <w:trHeight w:val="117"/>
        </w:trPr>
        <w:tc>
          <w:tcPr>
            <w:tcW w:w="3142" w:type="dxa"/>
            <w:tcBorders>
              <w:top w:val="single" w:sz="4" w:space="0" w:color="auto"/>
              <w:left w:val="nil"/>
              <w:bottom w:val="single" w:sz="4" w:space="0" w:color="auto"/>
              <w:right w:val="nil"/>
            </w:tcBorders>
          </w:tcPr>
          <w:p w:rsidR="00424C1D" w:rsidRDefault="00424C1D" w:rsidP="00424C1D">
            <w:pPr>
              <w:pStyle w:val="Textbody"/>
              <w:spacing w:after="0"/>
              <w:rPr>
                <w:b/>
              </w:rPr>
            </w:pPr>
          </w:p>
          <w:p w:rsidR="00424C1D" w:rsidRPr="00297742" w:rsidRDefault="00424C1D" w:rsidP="00424C1D">
            <w:pPr>
              <w:pStyle w:val="Textbody"/>
              <w:spacing w:after="0"/>
              <w:rPr>
                <w:b/>
              </w:rPr>
            </w:pPr>
            <w:r w:rsidRPr="00297742">
              <w:rPr>
                <w:b/>
              </w:rPr>
              <w:t>Operational Costs of Project</w:t>
            </w:r>
          </w:p>
        </w:tc>
        <w:tc>
          <w:tcPr>
            <w:tcW w:w="234" w:type="dxa"/>
            <w:tcBorders>
              <w:top w:val="nil"/>
              <w:left w:val="nil"/>
              <w:bottom w:val="nil"/>
              <w:right w:val="nil"/>
            </w:tcBorders>
          </w:tcPr>
          <w:p w:rsidR="00424C1D" w:rsidRPr="00AF40D6" w:rsidRDefault="00424C1D" w:rsidP="00424C1D">
            <w:pPr>
              <w:pStyle w:val="Textbody"/>
              <w:spacing w:after="0"/>
              <w:rPr>
                <w:sz w:val="8"/>
                <w:szCs w:val="8"/>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2015/16</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2016/17</w:t>
            </w:r>
          </w:p>
          <w:p w:rsidR="00424C1D" w:rsidRPr="00AF40D6" w:rsidRDefault="00424C1D" w:rsidP="00424C1D">
            <w:pPr>
              <w:pStyle w:val="Textbody"/>
              <w:spacing w:after="0"/>
              <w:rPr>
                <w:b/>
              </w:rPr>
            </w:pPr>
            <w:r w:rsidRPr="00AF40D6">
              <w:rPr>
                <w:b/>
              </w:rPr>
              <w:t>(£000)</w:t>
            </w:r>
          </w:p>
        </w:tc>
        <w:tc>
          <w:tcPr>
            <w:tcW w:w="26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2017/18</w:t>
            </w:r>
          </w:p>
          <w:p w:rsidR="00424C1D" w:rsidRPr="00AF40D6" w:rsidRDefault="00424C1D" w:rsidP="00424C1D">
            <w:pPr>
              <w:pStyle w:val="Textbody"/>
              <w:spacing w:after="0"/>
              <w:rPr>
                <w:b/>
              </w:rPr>
            </w:pPr>
            <w:r w:rsidRPr="00AF40D6">
              <w:rPr>
                <w:b/>
              </w:rPr>
              <w:t>(£000)</w:t>
            </w:r>
          </w:p>
        </w:tc>
        <w:tc>
          <w:tcPr>
            <w:tcW w:w="232"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2018/19 (£000)</w:t>
            </w:r>
          </w:p>
        </w:tc>
        <w:tc>
          <w:tcPr>
            <w:tcW w:w="236" w:type="dxa"/>
            <w:tcBorders>
              <w:top w:val="nil"/>
              <w:left w:val="nil"/>
              <w:bottom w:val="nil"/>
              <w:right w:val="nil"/>
            </w:tcBorders>
          </w:tcPr>
          <w:p w:rsidR="00424C1D" w:rsidRPr="00AF40D6" w:rsidRDefault="00424C1D" w:rsidP="00424C1D">
            <w:pPr>
              <w:pStyle w:val="Textbody"/>
              <w:spacing w:after="0"/>
              <w:rPr>
                <w:b/>
              </w:rPr>
            </w:pPr>
          </w:p>
        </w:tc>
        <w:tc>
          <w:tcPr>
            <w:tcW w:w="980" w:type="dxa"/>
            <w:tcBorders>
              <w:top w:val="single" w:sz="4" w:space="0" w:color="auto"/>
              <w:left w:val="nil"/>
              <w:bottom w:val="single" w:sz="4" w:space="0" w:color="auto"/>
              <w:right w:val="nil"/>
            </w:tcBorders>
          </w:tcPr>
          <w:p w:rsidR="00424C1D" w:rsidRPr="00AF40D6" w:rsidRDefault="00424C1D" w:rsidP="00424C1D">
            <w:pPr>
              <w:pStyle w:val="Textbody"/>
              <w:spacing w:after="0"/>
              <w:rPr>
                <w:b/>
              </w:rPr>
            </w:pPr>
            <w:r w:rsidRPr="00AF40D6">
              <w:rPr>
                <w:b/>
              </w:rPr>
              <w:t>2019/20 (£000)</w:t>
            </w:r>
          </w:p>
        </w:tc>
      </w:tr>
      <w:tr w:rsidR="00424C1D" w:rsidTr="00424C1D">
        <w:tc>
          <w:tcPr>
            <w:tcW w:w="3142"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Efficiencies</w:t>
            </w:r>
          </w:p>
        </w:tc>
        <w:tc>
          <w:tcPr>
            <w:tcW w:w="234"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6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2"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c>
          <w:tcPr>
            <w:tcW w:w="236" w:type="dxa"/>
            <w:tcBorders>
              <w:top w:val="nil"/>
              <w:left w:val="nil"/>
              <w:bottom w:val="nil"/>
              <w:right w:val="nil"/>
            </w:tcBorders>
          </w:tcPr>
          <w:p w:rsidR="00424C1D" w:rsidRPr="00AF40D6" w:rsidRDefault="00424C1D" w:rsidP="00424C1D">
            <w:pPr>
              <w:pStyle w:val="Textbody"/>
            </w:pPr>
          </w:p>
        </w:tc>
        <w:tc>
          <w:tcPr>
            <w:tcW w:w="980" w:type="dxa"/>
            <w:tcBorders>
              <w:top w:val="single" w:sz="4" w:space="0" w:color="BFBFBF" w:themeColor="background1" w:themeShade="BF"/>
              <w:left w:val="nil"/>
              <w:bottom w:val="single" w:sz="4" w:space="0" w:color="A6A6A6" w:themeColor="background1" w:themeShade="A6"/>
              <w:right w:val="nil"/>
            </w:tcBorders>
          </w:tcPr>
          <w:p w:rsidR="00424C1D" w:rsidRPr="00AF40D6" w:rsidRDefault="00424C1D" w:rsidP="00424C1D">
            <w:pPr>
              <w:pStyle w:val="Textbody"/>
            </w:pPr>
            <w:r>
              <w:t>0</w:t>
            </w:r>
          </w:p>
        </w:tc>
      </w:tr>
      <w:tr w:rsidR="00424C1D" w:rsidRPr="00AF40D6" w:rsidTr="00424C1D">
        <w:tc>
          <w:tcPr>
            <w:tcW w:w="3142" w:type="dxa"/>
            <w:tcBorders>
              <w:top w:val="single" w:sz="4" w:space="0" w:color="A6A6A6" w:themeColor="background1" w:themeShade="A6"/>
              <w:left w:val="nil"/>
              <w:right w:val="nil"/>
            </w:tcBorders>
          </w:tcPr>
          <w:p w:rsidR="00424C1D" w:rsidRPr="005338CE" w:rsidRDefault="00424C1D" w:rsidP="00424C1D">
            <w:pPr>
              <w:pStyle w:val="Textbody"/>
            </w:pPr>
            <w:r w:rsidRPr="00AF40D6">
              <w:t>Depreciation Charge</w:t>
            </w:r>
            <w:r>
              <w:rPr>
                <w:sz w:val="16"/>
                <w:szCs w:val="16"/>
              </w:rPr>
              <w:t xml:space="preserve">* </w:t>
            </w:r>
            <w:r>
              <w:t>(Central)</w:t>
            </w:r>
          </w:p>
        </w:tc>
        <w:tc>
          <w:tcPr>
            <w:tcW w:w="234" w:type="dxa"/>
            <w:tcBorders>
              <w:top w:val="nil"/>
              <w:left w:val="nil"/>
              <w:bottom w:val="nil"/>
              <w:right w:val="nil"/>
            </w:tcBorders>
          </w:tcPr>
          <w:p w:rsidR="00424C1D" w:rsidRPr="00AF40D6" w:rsidRDefault="00424C1D" w:rsidP="00424C1D">
            <w:pPr>
              <w:pStyle w:val="Textbody"/>
              <w:rPr>
                <w:sz w:val="8"/>
                <w:szCs w:val="8"/>
              </w:rPr>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0</w:t>
            </w:r>
          </w:p>
        </w:tc>
        <w:tc>
          <w:tcPr>
            <w:tcW w:w="232"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70</w:t>
            </w:r>
          </w:p>
        </w:tc>
        <w:tc>
          <w:tcPr>
            <w:tcW w:w="266"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140</w:t>
            </w:r>
          </w:p>
        </w:tc>
        <w:tc>
          <w:tcPr>
            <w:tcW w:w="232"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210</w:t>
            </w:r>
          </w:p>
        </w:tc>
        <w:tc>
          <w:tcPr>
            <w:tcW w:w="236" w:type="dxa"/>
            <w:tcBorders>
              <w:top w:val="nil"/>
              <w:left w:val="nil"/>
              <w:bottom w:val="nil"/>
              <w:right w:val="nil"/>
            </w:tcBorders>
          </w:tcPr>
          <w:p w:rsidR="00424C1D" w:rsidRPr="00DC17F7" w:rsidRDefault="00424C1D" w:rsidP="00424C1D">
            <w:pPr>
              <w:pStyle w:val="Textbody"/>
            </w:pPr>
          </w:p>
        </w:tc>
        <w:tc>
          <w:tcPr>
            <w:tcW w:w="980" w:type="dxa"/>
            <w:tcBorders>
              <w:top w:val="single" w:sz="4" w:space="0" w:color="A6A6A6" w:themeColor="background1" w:themeShade="A6"/>
              <w:left w:val="nil"/>
              <w:right w:val="nil"/>
            </w:tcBorders>
          </w:tcPr>
          <w:p w:rsidR="00424C1D" w:rsidRPr="00DC17F7" w:rsidRDefault="00424C1D" w:rsidP="00424C1D">
            <w:pPr>
              <w:pStyle w:val="Textbody"/>
            </w:pPr>
            <w:r>
              <w:t>280</w:t>
            </w:r>
          </w:p>
        </w:tc>
      </w:tr>
    </w:tbl>
    <w:p w:rsidR="00424C1D" w:rsidRPr="00DC17F7" w:rsidRDefault="00424C1D" w:rsidP="00424C1D">
      <w:pPr>
        <w:pStyle w:val="Textbody"/>
        <w:rPr>
          <w:sz w:val="16"/>
          <w:szCs w:val="16"/>
        </w:rPr>
      </w:pPr>
      <w:r>
        <w:rPr>
          <w:sz w:val="16"/>
          <w:szCs w:val="16"/>
        </w:rPr>
        <w:t xml:space="preserve">* Remaining </w:t>
      </w:r>
      <w:proofErr w:type="spellStart"/>
      <w:r>
        <w:rPr>
          <w:sz w:val="16"/>
          <w:szCs w:val="16"/>
        </w:rPr>
        <w:t>dep’n</w:t>
      </w:r>
      <w:proofErr w:type="spellEnd"/>
      <w:r>
        <w:rPr>
          <w:sz w:val="16"/>
          <w:szCs w:val="16"/>
        </w:rPr>
        <w:t xml:space="preserve"> charge for the period 2021/22 to 2023/24 is £700k</w:t>
      </w:r>
    </w:p>
    <w:p w:rsidR="00424C1D" w:rsidRDefault="00424C1D" w:rsidP="00424C1D">
      <w:pPr>
        <w:pStyle w:val="Textbody"/>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410"/>
      </w:tblGrid>
      <w:tr w:rsidR="00424C1D" w:rsidTr="00424C1D">
        <w:tc>
          <w:tcPr>
            <w:tcW w:w="1985" w:type="dxa"/>
            <w:tcBorders>
              <w:top w:val="single" w:sz="4" w:space="0" w:color="auto"/>
              <w:left w:val="single" w:sz="4" w:space="0" w:color="auto"/>
              <w:bottom w:val="single" w:sz="4" w:space="0" w:color="auto"/>
              <w:right w:val="nil"/>
            </w:tcBorders>
          </w:tcPr>
          <w:p w:rsidR="00424C1D" w:rsidRPr="002047EB" w:rsidRDefault="00424C1D" w:rsidP="00424C1D">
            <w:pPr>
              <w:rPr>
                <w:b/>
              </w:rPr>
            </w:pPr>
            <w:r w:rsidRPr="002047EB">
              <w:rPr>
                <w:b/>
              </w:rPr>
              <w:t>Cost Category</w:t>
            </w:r>
          </w:p>
        </w:tc>
        <w:tc>
          <w:tcPr>
            <w:tcW w:w="2410" w:type="dxa"/>
            <w:tcBorders>
              <w:top w:val="single" w:sz="4" w:space="0" w:color="auto"/>
              <w:left w:val="nil"/>
              <w:bottom w:val="single" w:sz="4" w:space="0" w:color="auto"/>
              <w:right w:val="single" w:sz="4" w:space="0" w:color="auto"/>
            </w:tcBorders>
          </w:tcPr>
          <w:p w:rsidR="00424C1D" w:rsidRPr="002047EB" w:rsidRDefault="00424C1D" w:rsidP="00424C1D">
            <w:pPr>
              <w:rPr>
                <w:b/>
              </w:rPr>
            </w:pPr>
            <w:r w:rsidRPr="002047EB">
              <w:rPr>
                <w:b/>
              </w:rPr>
              <w:t>Confidence</w:t>
            </w:r>
          </w:p>
        </w:tc>
      </w:tr>
      <w:tr w:rsidR="00424C1D" w:rsidTr="00424C1D">
        <w:tc>
          <w:tcPr>
            <w:tcW w:w="1985" w:type="dxa"/>
            <w:tcBorders>
              <w:top w:val="single" w:sz="4" w:space="0" w:color="auto"/>
              <w:left w:val="single" w:sz="4" w:space="0" w:color="auto"/>
              <w:bottom w:val="single" w:sz="4" w:space="0" w:color="BFBFBF" w:themeColor="background1" w:themeShade="BF"/>
              <w:right w:val="nil"/>
            </w:tcBorders>
          </w:tcPr>
          <w:p w:rsidR="00424C1D" w:rsidRDefault="00424C1D" w:rsidP="00424C1D">
            <w:r>
              <w:t>Project costs</w:t>
            </w:r>
          </w:p>
        </w:tc>
        <w:tc>
          <w:tcPr>
            <w:tcW w:w="2410" w:type="dxa"/>
            <w:tcBorders>
              <w:top w:val="single" w:sz="4" w:space="0" w:color="auto"/>
              <w:left w:val="nil"/>
              <w:bottom w:val="single" w:sz="4" w:space="0" w:color="BFBFBF" w:themeColor="background1" w:themeShade="BF"/>
              <w:right w:val="single" w:sz="4" w:space="0" w:color="auto"/>
            </w:tcBorders>
          </w:tcPr>
          <w:p w:rsidR="00424C1D" w:rsidRDefault="00424C1D" w:rsidP="00424C1D">
            <w:pPr>
              <w:tabs>
                <w:tab w:val="clear" w:pos="720"/>
                <w:tab w:val="right" w:pos="2194"/>
              </w:tabs>
            </w:pPr>
            <w:r>
              <w:t>Medium</w:t>
            </w:r>
          </w:p>
        </w:tc>
      </w:tr>
      <w:tr w:rsidR="00424C1D" w:rsidTr="00424C1D">
        <w:tc>
          <w:tcPr>
            <w:tcW w:w="1985" w:type="dxa"/>
            <w:tcBorders>
              <w:top w:val="single" w:sz="4" w:space="0" w:color="BFBFBF" w:themeColor="background1" w:themeShade="BF"/>
              <w:left w:val="single" w:sz="4" w:space="0" w:color="auto"/>
              <w:bottom w:val="single" w:sz="4" w:space="0" w:color="auto"/>
              <w:right w:val="nil"/>
            </w:tcBorders>
          </w:tcPr>
          <w:p w:rsidR="00424C1D" w:rsidRDefault="00424C1D" w:rsidP="00424C1D">
            <w:r>
              <w:t>Operational costs</w:t>
            </w:r>
          </w:p>
        </w:tc>
        <w:tc>
          <w:tcPr>
            <w:tcW w:w="2410" w:type="dxa"/>
            <w:tcBorders>
              <w:top w:val="single" w:sz="4" w:space="0" w:color="BFBFBF" w:themeColor="background1" w:themeShade="BF"/>
              <w:left w:val="nil"/>
              <w:bottom w:val="single" w:sz="4" w:space="0" w:color="auto"/>
              <w:right w:val="single" w:sz="4" w:space="0" w:color="auto"/>
            </w:tcBorders>
          </w:tcPr>
          <w:p w:rsidR="00424C1D" w:rsidRDefault="00424C1D" w:rsidP="00424C1D">
            <w:r>
              <w:t>Medium</w:t>
            </w:r>
          </w:p>
        </w:tc>
      </w:tr>
    </w:tbl>
    <w:p w:rsidR="00424C1D" w:rsidRDefault="00424C1D" w:rsidP="00424C1D">
      <w:pPr>
        <w:pStyle w:val="Textbody"/>
        <w:rPr>
          <w:sz w:val="20"/>
          <w:szCs w:val="20"/>
        </w:rPr>
      </w:pPr>
    </w:p>
    <w:p w:rsidR="00424C1D" w:rsidRDefault="00424C1D" w:rsidP="00424C1D">
      <w:pPr>
        <w:pStyle w:val="Textbody"/>
      </w:pPr>
    </w:p>
    <w:p w:rsidR="00424C1D" w:rsidRDefault="00424C1D" w:rsidP="00424C1D">
      <w:pPr>
        <w:tabs>
          <w:tab w:val="clear" w:pos="720"/>
        </w:tabs>
        <w:suppressAutoHyphens w:val="0"/>
      </w:pPr>
      <w:r>
        <w:br w:type="page"/>
      </w:r>
    </w:p>
    <w:p w:rsidR="00424C1D" w:rsidRDefault="00424C1D" w:rsidP="00424C1D">
      <w:pPr>
        <w:tabs>
          <w:tab w:val="clear" w:pos="720"/>
        </w:tabs>
        <w:suppressAutoHyphens w:val="0"/>
        <w:rPr>
          <w:b/>
          <w:color w:val="4F81BD" w:themeColor="accent1"/>
          <w:sz w:val="26"/>
          <w:szCs w:val="26"/>
        </w:rPr>
      </w:pPr>
      <w:r>
        <w:rPr>
          <w:b/>
          <w:color w:val="4F81BD" w:themeColor="accent1"/>
          <w:sz w:val="26"/>
          <w:szCs w:val="26"/>
        </w:rPr>
        <w:lastRenderedPageBreak/>
        <w:t>Appendix B – Run Projects</w:t>
      </w:r>
    </w:p>
    <w:p w:rsidR="00424C1D" w:rsidRDefault="00424C1D" w:rsidP="00424C1D">
      <w:pPr>
        <w:tabs>
          <w:tab w:val="clear" w:pos="720"/>
        </w:tabs>
        <w:suppressAutoHyphens w:val="0"/>
        <w:rPr>
          <w:color w:val="auto"/>
        </w:rPr>
      </w:pPr>
      <w:r w:rsidRPr="002B5BFA">
        <w:rPr>
          <w:color w:val="auto"/>
        </w:rPr>
        <w:t>At the second meeting of the R</w:t>
      </w:r>
      <w:r>
        <w:rPr>
          <w:color w:val="auto"/>
        </w:rPr>
        <w:t>eview Group a set of activities comprising of the capital cost of a series of run activities was presented. These activities could be presented in the same way as the project data sheets in Appendix A. However when we reviewed the projects we identified that with the exception of the “</w:t>
      </w:r>
      <w:r w:rsidRPr="006A5126">
        <w:rPr>
          <w:color w:val="auto"/>
        </w:rPr>
        <w:t>Rolling refresh of edge network, including technical debt</w:t>
      </w:r>
      <w:r>
        <w:rPr>
          <w:color w:val="auto"/>
        </w:rPr>
        <w:t>” project none of the projects had impact on our operational costs, they are all things that we would expect to do from within our operational budget apart from funding the cost of the equipment. As a consequence the projects are presented in the same tabular form as at the previous meeting with the one exception “</w:t>
      </w:r>
      <w:r w:rsidRPr="006A5126">
        <w:rPr>
          <w:color w:val="auto"/>
        </w:rPr>
        <w:t>Rolling refresh of edge network, including technical debt</w:t>
      </w:r>
      <w:r>
        <w:rPr>
          <w:color w:val="auto"/>
        </w:rPr>
        <w:t>” where we have prepared a data sheet which is included in Appendix A.</w:t>
      </w:r>
    </w:p>
    <w:p w:rsidR="00424C1D" w:rsidRDefault="00424C1D" w:rsidP="00424C1D">
      <w:pPr>
        <w:pStyle w:val="Textbody"/>
      </w:pPr>
      <w:r>
        <w:br w:type="page"/>
      </w:r>
    </w:p>
    <w:p w:rsidR="00424C1D" w:rsidRDefault="00424C1D" w:rsidP="00424C1D">
      <w:pPr>
        <w:tabs>
          <w:tab w:val="clear" w:pos="720"/>
        </w:tabs>
        <w:suppressAutoHyphens w:val="0"/>
        <w:rPr>
          <w:color w:val="auto"/>
        </w:rPr>
      </w:pPr>
    </w:p>
    <w:tbl>
      <w:tblPr>
        <w:tblW w:w="8200" w:type="dxa"/>
        <w:tblInd w:w="9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915"/>
        <w:gridCol w:w="960"/>
        <w:gridCol w:w="960"/>
        <w:gridCol w:w="960"/>
        <w:gridCol w:w="960"/>
        <w:gridCol w:w="960"/>
      </w:tblGrid>
      <w:tr w:rsidR="00424C1D" w:rsidRPr="00033321" w:rsidTr="00424C1D">
        <w:trPr>
          <w:trHeight w:val="300"/>
        </w:trPr>
        <w:tc>
          <w:tcPr>
            <w:tcW w:w="1485" w:type="dxa"/>
            <w:vMerge w:val="restart"/>
            <w:shd w:val="clear" w:color="auto" w:fill="B8CCE4" w:themeFill="accent1" w:themeFillTint="66"/>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r w:rsidRPr="00033321">
              <w:rPr>
                <w:rFonts w:eastAsia="Times New Roman" w:cs="Times New Roman"/>
                <w:b/>
                <w:bCs/>
                <w:color w:val="auto"/>
                <w:lang w:eastAsia="zh-CN"/>
              </w:rPr>
              <w:t xml:space="preserve">Infrastructure </w:t>
            </w:r>
            <w:r>
              <w:rPr>
                <w:rFonts w:eastAsia="Times New Roman" w:cs="Times New Roman"/>
                <w:b/>
                <w:bCs/>
                <w:color w:val="auto"/>
                <w:lang w:eastAsia="zh-CN"/>
              </w:rPr>
              <w:t>Domain</w:t>
            </w:r>
          </w:p>
        </w:tc>
        <w:tc>
          <w:tcPr>
            <w:tcW w:w="1915" w:type="dxa"/>
            <w:vMerge w:val="restart"/>
            <w:shd w:val="clear" w:color="auto" w:fill="B8CCE4" w:themeFill="accent1" w:themeFillTint="66"/>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r w:rsidRPr="00033321">
              <w:rPr>
                <w:rFonts w:eastAsia="Times New Roman" w:cs="Times New Roman"/>
                <w:b/>
                <w:bCs/>
                <w:color w:val="auto"/>
                <w:lang w:eastAsia="zh-CN"/>
              </w:rPr>
              <w:t>Project</w:t>
            </w:r>
          </w:p>
        </w:tc>
        <w:tc>
          <w:tcPr>
            <w:tcW w:w="960" w:type="dxa"/>
            <w:vMerge w:val="restart"/>
            <w:shd w:val="clear" w:color="auto" w:fill="B8CCE4" w:themeFill="accent1" w:themeFillTint="66"/>
            <w:hideMark/>
          </w:tcPr>
          <w:p w:rsidR="00424C1D" w:rsidRDefault="00424C1D" w:rsidP="00424C1D">
            <w:pPr>
              <w:tabs>
                <w:tab w:val="clear" w:pos="720"/>
              </w:tabs>
              <w:suppressAutoHyphens w:val="0"/>
              <w:spacing w:after="0" w:line="240" w:lineRule="auto"/>
              <w:rPr>
                <w:rFonts w:eastAsia="Times New Roman" w:cs="Times New Roman"/>
                <w:b/>
                <w:bCs/>
                <w:color w:val="auto"/>
                <w:lang w:eastAsia="zh-CN"/>
              </w:rPr>
            </w:pPr>
            <w:r w:rsidRPr="00033321">
              <w:rPr>
                <w:rFonts w:eastAsia="Times New Roman" w:cs="Times New Roman"/>
                <w:b/>
                <w:bCs/>
                <w:color w:val="auto"/>
                <w:lang w:eastAsia="zh-CN"/>
              </w:rPr>
              <w:t>15/16</w:t>
            </w:r>
          </w:p>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r>
              <w:rPr>
                <w:rFonts w:eastAsia="Times New Roman" w:cs="Times New Roman"/>
                <w:b/>
                <w:bCs/>
                <w:color w:val="auto"/>
                <w:lang w:eastAsia="zh-CN"/>
              </w:rPr>
              <w:t>(£000)</w:t>
            </w:r>
          </w:p>
        </w:tc>
        <w:tc>
          <w:tcPr>
            <w:tcW w:w="960" w:type="dxa"/>
            <w:vMerge w:val="restart"/>
            <w:shd w:val="clear" w:color="auto" w:fill="B8CCE4" w:themeFill="accent1" w:themeFillTint="66"/>
            <w:hideMark/>
          </w:tcPr>
          <w:p w:rsidR="00424C1D" w:rsidRDefault="00424C1D" w:rsidP="00424C1D">
            <w:pPr>
              <w:tabs>
                <w:tab w:val="clear" w:pos="720"/>
              </w:tabs>
              <w:suppressAutoHyphens w:val="0"/>
              <w:spacing w:after="0" w:line="240" w:lineRule="auto"/>
              <w:rPr>
                <w:rFonts w:eastAsia="Times New Roman" w:cs="Times New Roman"/>
                <w:b/>
                <w:bCs/>
                <w:color w:val="auto"/>
                <w:lang w:eastAsia="zh-CN"/>
              </w:rPr>
            </w:pPr>
            <w:r w:rsidRPr="00033321">
              <w:rPr>
                <w:rFonts w:eastAsia="Times New Roman" w:cs="Times New Roman"/>
                <w:b/>
                <w:bCs/>
                <w:color w:val="auto"/>
                <w:lang w:eastAsia="zh-CN"/>
              </w:rPr>
              <w:t>16/17</w:t>
            </w:r>
          </w:p>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r>
              <w:rPr>
                <w:rFonts w:eastAsia="Times New Roman" w:cs="Times New Roman"/>
                <w:b/>
                <w:bCs/>
                <w:color w:val="auto"/>
                <w:lang w:eastAsia="zh-CN"/>
              </w:rPr>
              <w:t>(£000)</w:t>
            </w:r>
          </w:p>
        </w:tc>
        <w:tc>
          <w:tcPr>
            <w:tcW w:w="960" w:type="dxa"/>
            <w:vMerge w:val="restart"/>
            <w:shd w:val="clear" w:color="auto" w:fill="B8CCE4" w:themeFill="accent1" w:themeFillTint="66"/>
            <w:hideMark/>
          </w:tcPr>
          <w:p w:rsidR="00424C1D" w:rsidRDefault="00424C1D" w:rsidP="00424C1D">
            <w:pPr>
              <w:tabs>
                <w:tab w:val="clear" w:pos="720"/>
              </w:tabs>
              <w:suppressAutoHyphens w:val="0"/>
              <w:spacing w:after="0" w:line="240" w:lineRule="auto"/>
              <w:rPr>
                <w:rFonts w:eastAsia="Times New Roman" w:cs="Times New Roman"/>
                <w:b/>
                <w:bCs/>
                <w:color w:val="auto"/>
                <w:lang w:eastAsia="zh-CN"/>
              </w:rPr>
            </w:pPr>
            <w:r w:rsidRPr="00033321">
              <w:rPr>
                <w:rFonts w:eastAsia="Times New Roman" w:cs="Times New Roman"/>
                <w:b/>
                <w:bCs/>
                <w:color w:val="auto"/>
                <w:lang w:eastAsia="zh-CN"/>
              </w:rPr>
              <w:t>17/18</w:t>
            </w:r>
          </w:p>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r>
              <w:rPr>
                <w:rFonts w:eastAsia="Times New Roman" w:cs="Times New Roman"/>
                <w:b/>
                <w:bCs/>
                <w:color w:val="auto"/>
                <w:lang w:eastAsia="zh-CN"/>
              </w:rPr>
              <w:t>(£000)</w:t>
            </w:r>
          </w:p>
        </w:tc>
        <w:tc>
          <w:tcPr>
            <w:tcW w:w="960" w:type="dxa"/>
            <w:vMerge w:val="restart"/>
            <w:shd w:val="clear" w:color="auto" w:fill="B8CCE4" w:themeFill="accent1" w:themeFillTint="66"/>
            <w:hideMark/>
          </w:tcPr>
          <w:p w:rsidR="00424C1D" w:rsidRDefault="00424C1D" w:rsidP="00424C1D">
            <w:pPr>
              <w:tabs>
                <w:tab w:val="clear" w:pos="720"/>
              </w:tabs>
              <w:suppressAutoHyphens w:val="0"/>
              <w:spacing w:after="0" w:line="240" w:lineRule="auto"/>
              <w:rPr>
                <w:rFonts w:eastAsia="Times New Roman" w:cs="Times New Roman"/>
                <w:b/>
                <w:bCs/>
                <w:color w:val="auto"/>
                <w:lang w:eastAsia="zh-CN"/>
              </w:rPr>
            </w:pPr>
            <w:r w:rsidRPr="00033321">
              <w:rPr>
                <w:rFonts w:eastAsia="Times New Roman" w:cs="Times New Roman"/>
                <w:b/>
                <w:bCs/>
                <w:color w:val="auto"/>
                <w:lang w:eastAsia="zh-CN"/>
              </w:rPr>
              <w:t>18/19</w:t>
            </w:r>
          </w:p>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r>
              <w:rPr>
                <w:rFonts w:eastAsia="Times New Roman" w:cs="Times New Roman"/>
                <w:b/>
                <w:bCs/>
                <w:color w:val="auto"/>
                <w:lang w:eastAsia="zh-CN"/>
              </w:rPr>
              <w:t>(£000)</w:t>
            </w:r>
          </w:p>
        </w:tc>
        <w:tc>
          <w:tcPr>
            <w:tcW w:w="960" w:type="dxa"/>
            <w:vMerge w:val="restart"/>
            <w:shd w:val="clear" w:color="auto" w:fill="B8CCE4" w:themeFill="accent1" w:themeFillTint="66"/>
            <w:hideMark/>
          </w:tcPr>
          <w:p w:rsidR="00424C1D" w:rsidRDefault="00424C1D" w:rsidP="00424C1D">
            <w:pPr>
              <w:tabs>
                <w:tab w:val="clear" w:pos="720"/>
              </w:tabs>
              <w:suppressAutoHyphens w:val="0"/>
              <w:spacing w:after="0" w:line="240" w:lineRule="auto"/>
              <w:rPr>
                <w:rFonts w:eastAsia="Times New Roman" w:cs="Times New Roman"/>
                <w:b/>
                <w:bCs/>
                <w:color w:val="auto"/>
                <w:lang w:eastAsia="zh-CN"/>
              </w:rPr>
            </w:pPr>
            <w:r w:rsidRPr="00033321">
              <w:rPr>
                <w:rFonts w:eastAsia="Times New Roman" w:cs="Times New Roman"/>
                <w:b/>
                <w:bCs/>
                <w:color w:val="auto"/>
                <w:lang w:eastAsia="zh-CN"/>
              </w:rPr>
              <w:t>19/20</w:t>
            </w:r>
          </w:p>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r>
              <w:rPr>
                <w:rFonts w:eastAsia="Times New Roman" w:cs="Times New Roman"/>
                <w:b/>
                <w:bCs/>
                <w:color w:val="auto"/>
                <w:lang w:eastAsia="zh-CN"/>
              </w:rPr>
              <w:t>(£000)</w:t>
            </w:r>
          </w:p>
        </w:tc>
      </w:tr>
      <w:tr w:rsidR="00424C1D" w:rsidRPr="00033321" w:rsidTr="00424C1D">
        <w:trPr>
          <w:trHeight w:val="300"/>
        </w:trPr>
        <w:tc>
          <w:tcPr>
            <w:tcW w:w="1485" w:type="dxa"/>
            <w:vMerge/>
            <w:shd w:val="clear" w:color="auto" w:fill="B8CCE4" w:themeFill="accent1" w:themeFillTint="66"/>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c>
          <w:tcPr>
            <w:tcW w:w="1915" w:type="dxa"/>
            <w:vMerge/>
            <w:shd w:val="clear" w:color="auto" w:fill="B8CCE4" w:themeFill="accent1" w:themeFillTint="66"/>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c>
          <w:tcPr>
            <w:tcW w:w="960" w:type="dxa"/>
            <w:vMerge/>
            <w:shd w:val="clear" w:color="auto" w:fill="B8CCE4" w:themeFill="accent1" w:themeFillTint="66"/>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c>
          <w:tcPr>
            <w:tcW w:w="960" w:type="dxa"/>
            <w:vMerge/>
            <w:shd w:val="clear" w:color="auto" w:fill="B8CCE4" w:themeFill="accent1" w:themeFillTint="66"/>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c>
          <w:tcPr>
            <w:tcW w:w="960" w:type="dxa"/>
            <w:vMerge/>
            <w:shd w:val="clear" w:color="auto" w:fill="B8CCE4" w:themeFill="accent1" w:themeFillTint="66"/>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c>
          <w:tcPr>
            <w:tcW w:w="960" w:type="dxa"/>
            <w:vMerge/>
            <w:shd w:val="clear" w:color="auto" w:fill="B8CCE4" w:themeFill="accent1" w:themeFillTint="66"/>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c>
          <w:tcPr>
            <w:tcW w:w="960" w:type="dxa"/>
            <w:vMerge/>
            <w:shd w:val="clear" w:color="auto" w:fill="B8CCE4" w:themeFill="accent1" w:themeFillTint="66"/>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r>
      <w:tr w:rsidR="00424C1D" w:rsidRPr="00033321" w:rsidTr="00424C1D">
        <w:trPr>
          <w:trHeight w:val="600"/>
        </w:trPr>
        <w:tc>
          <w:tcPr>
            <w:tcW w:w="1485" w:type="dxa"/>
            <w:vMerge w:val="restart"/>
            <w:shd w:val="solid" w:color="558ED5" w:fill="auto"/>
            <w:hideMark/>
          </w:tcPr>
          <w:p w:rsidR="00424C1D" w:rsidRPr="00033321" w:rsidRDefault="00424C1D" w:rsidP="00424C1D">
            <w:pPr>
              <w:tabs>
                <w:tab w:val="clear" w:pos="720"/>
              </w:tabs>
              <w:suppressAutoHyphens w:val="0"/>
              <w:spacing w:after="0" w:line="240" w:lineRule="auto"/>
              <w:jc w:val="center"/>
              <w:rPr>
                <w:rFonts w:eastAsia="Times New Roman" w:cs="Times New Roman"/>
                <w:b/>
                <w:bCs/>
                <w:color w:val="auto"/>
                <w:lang w:eastAsia="zh-CN"/>
              </w:rPr>
            </w:pPr>
            <w:r w:rsidRPr="00033321">
              <w:rPr>
                <w:rFonts w:eastAsia="Times New Roman" w:cs="Times New Roman"/>
                <w:b/>
                <w:bCs/>
                <w:color w:val="FFFFFF" w:themeColor="background1"/>
                <w:lang w:eastAsia="zh-CN"/>
              </w:rPr>
              <w:t>Data Centres</w:t>
            </w:r>
          </w:p>
        </w:tc>
        <w:tc>
          <w:tcPr>
            <w:tcW w:w="1915"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UPS battery replacement</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15</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15</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r>
      <w:tr w:rsidR="00424C1D" w:rsidRPr="00033321" w:rsidTr="00424C1D">
        <w:trPr>
          <w:trHeight w:val="300"/>
        </w:trPr>
        <w:tc>
          <w:tcPr>
            <w:tcW w:w="1485" w:type="dxa"/>
            <w:vMerge/>
            <w:shd w:val="solid" w:color="558ED5" w:fill="auto"/>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auto"/>
                <w:lang w:eastAsia="zh-CN"/>
              </w:rPr>
            </w:pPr>
          </w:p>
        </w:tc>
        <w:tc>
          <w:tcPr>
            <w:tcW w:w="1915"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Total</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15</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0</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15</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0</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0</w:t>
            </w:r>
          </w:p>
        </w:tc>
      </w:tr>
      <w:tr w:rsidR="00424C1D" w:rsidRPr="00033321" w:rsidTr="00424C1D">
        <w:trPr>
          <w:trHeight w:val="975"/>
        </w:trPr>
        <w:tc>
          <w:tcPr>
            <w:tcW w:w="1485" w:type="dxa"/>
            <w:vMerge w:val="restart"/>
            <w:shd w:val="solid" w:color="8EB4E3" w:fill="auto"/>
            <w:hideMark/>
          </w:tcPr>
          <w:p w:rsidR="00424C1D" w:rsidRPr="00033321" w:rsidRDefault="00424C1D" w:rsidP="00424C1D">
            <w:pPr>
              <w:tabs>
                <w:tab w:val="clear" w:pos="720"/>
              </w:tabs>
              <w:suppressAutoHyphens w:val="0"/>
              <w:spacing w:after="0" w:line="240" w:lineRule="auto"/>
              <w:jc w:val="center"/>
              <w:rPr>
                <w:rFonts w:eastAsia="Times New Roman" w:cs="Times New Roman"/>
                <w:b/>
                <w:bCs/>
                <w:color w:val="FFFFFF" w:themeColor="background1"/>
                <w:lang w:eastAsia="zh-CN"/>
              </w:rPr>
            </w:pPr>
            <w:r w:rsidRPr="00033321">
              <w:rPr>
                <w:rFonts w:eastAsia="Times New Roman" w:cs="Times New Roman"/>
                <w:b/>
                <w:bCs/>
                <w:color w:val="FFFFFF" w:themeColor="background1"/>
                <w:lang w:eastAsia="zh-CN"/>
              </w:rPr>
              <w:t>Network</w:t>
            </w:r>
          </w:p>
        </w:tc>
        <w:tc>
          <w:tcPr>
            <w:tcW w:w="1915"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Rolling refresh of core network routers</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50</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50</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50</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50</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50</w:t>
            </w:r>
          </w:p>
        </w:tc>
      </w:tr>
      <w:tr w:rsidR="00424C1D" w:rsidRPr="00033321" w:rsidTr="00424C1D">
        <w:trPr>
          <w:trHeight w:val="990"/>
        </w:trPr>
        <w:tc>
          <w:tcPr>
            <w:tcW w:w="1485" w:type="dxa"/>
            <w:vMerge/>
            <w:shd w:val="solid" w:color="8EB4E3" w:fill="auto"/>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FFFFFF" w:themeColor="background1"/>
                <w:lang w:eastAsia="zh-CN"/>
              </w:rPr>
            </w:pPr>
          </w:p>
        </w:tc>
        <w:tc>
          <w:tcPr>
            <w:tcW w:w="1915"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Rolling refresh of wireless edge  network</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140</w:t>
            </w:r>
          </w:p>
        </w:tc>
      </w:tr>
      <w:tr w:rsidR="00424C1D" w:rsidRPr="00033321" w:rsidTr="00424C1D">
        <w:trPr>
          <w:trHeight w:val="795"/>
        </w:trPr>
        <w:tc>
          <w:tcPr>
            <w:tcW w:w="1485" w:type="dxa"/>
            <w:vMerge/>
            <w:shd w:val="solid" w:color="8EB4E3" w:fill="auto"/>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FFFFFF" w:themeColor="background1"/>
                <w:lang w:eastAsia="zh-CN"/>
              </w:rPr>
            </w:pPr>
          </w:p>
        </w:tc>
        <w:tc>
          <w:tcPr>
            <w:tcW w:w="1915"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Wireless controller replacement</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200</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r>
      <w:tr w:rsidR="00424C1D" w:rsidRPr="00033321" w:rsidTr="00424C1D">
        <w:trPr>
          <w:trHeight w:val="900"/>
        </w:trPr>
        <w:tc>
          <w:tcPr>
            <w:tcW w:w="1485" w:type="dxa"/>
            <w:vMerge/>
            <w:shd w:val="solid" w:color="8EB4E3" w:fill="auto"/>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FFFFFF" w:themeColor="background1"/>
                <w:lang w:eastAsia="zh-CN"/>
              </w:rPr>
            </w:pPr>
          </w:p>
        </w:tc>
        <w:tc>
          <w:tcPr>
            <w:tcW w:w="1915"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Virtual Private Network replacement</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40</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r>
      <w:tr w:rsidR="00424C1D" w:rsidRPr="00033321" w:rsidTr="00424C1D">
        <w:trPr>
          <w:trHeight w:val="300"/>
        </w:trPr>
        <w:tc>
          <w:tcPr>
            <w:tcW w:w="1485" w:type="dxa"/>
            <w:vMerge/>
            <w:shd w:val="solid" w:color="8EB4E3" w:fill="auto"/>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FFFFFF" w:themeColor="background1"/>
                <w:lang w:eastAsia="zh-CN"/>
              </w:rPr>
            </w:pPr>
          </w:p>
        </w:tc>
        <w:tc>
          <w:tcPr>
            <w:tcW w:w="1915"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Total</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235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235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275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435</w:t>
            </w:r>
          </w:p>
        </w:tc>
        <w:tc>
          <w:tcPr>
            <w:tcW w:w="960" w:type="dxa"/>
            <w:shd w:val="solid" w:color="8EB4E3"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190</w:t>
            </w:r>
          </w:p>
        </w:tc>
      </w:tr>
      <w:tr w:rsidR="00424C1D" w:rsidRPr="00033321" w:rsidTr="00424C1D">
        <w:trPr>
          <w:trHeight w:val="900"/>
        </w:trPr>
        <w:tc>
          <w:tcPr>
            <w:tcW w:w="1485" w:type="dxa"/>
            <w:vMerge w:val="restart"/>
            <w:shd w:val="solid" w:color="00B0F0" w:fill="auto"/>
            <w:hideMark/>
          </w:tcPr>
          <w:p w:rsidR="00424C1D" w:rsidRPr="00033321" w:rsidRDefault="00424C1D" w:rsidP="00424C1D">
            <w:pPr>
              <w:tabs>
                <w:tab w:val="clear" w:pos="720"/>
              </w:tabs>
              <w:suppressAutoHyphens w:val="0"/>
              <w:spacing w:after="0" w:line="240" w:lineRule="auto"/>
              <w:jc w:val="center"/>
              <w:rPr>
                <w:rFonts w:eastAsia="Times New Roman" w:cs="Times New Roman"/>
                <w:b/>
                <w:bCs/>
                <w:color w:val="FFFFFF" w:themeColor="background1"/>
                <w:lang w:eastAsia="zh-CN"/>
              </w:rPr>
            </w:pPr>
            <w:r w:rsidRPr="00033321">
              <w:rPr>
                <w:rFonts w:eastAsia="Times New Roman" w:cs="Times New Roman"/>
                <w:b/>
                <w:bCs/>
                <w:color w:val="FFFFFF" w:themeColor="background1"/>
                <w:lang w:eastAsia="zh-CN"/>
              </w:rPr>
              <w:t>Hardware</w:t>
            </w:r>
          </w:p>
          <w:p w:rsidR="00424C1D" w:rsidRPr="00033321" w:rsidRDefault="00424C1D" w:rsidP="00424C1D">
            <w:pPr>
              <w:spacing w:after="0" w:line="240" w:lineRule="auto"/>
              <w:rPr>
                <w:rFonts w:eastAsia="Times New Roman" w:cs="Times New Roman"/>
                <w:b/>
                <w:bCs/>
                <w:color w:val="FFFFFF" w:themeColor="background1"/>
                <w:lang w:eastAsia="zh-CN"/>
              </w:rPr>
            </w:pPr>
            <w:r w:rsidRPr="00033321">
              <w:rPr>
                <w:rFonts w:eastAsia="Times New Roman" w:cs="Times New Roman"/>
                <w:b/>
                <w:bCs/>
                <w:color w:val="FFFFFF" w:themeColor="background1"/>
                <w:lang w:eastAsia="zh-CN"/>
              </w:rPr>
              <w:t> </w:t>
            </w:r>
          </w:p>
        </w:tc>
        <w:tc>
          <w:tcPr>
            <w:tcW w:w="1915"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Rolling refresh of enterprise server infrastructure</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160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160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160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160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160</w:t>
            </w:r>
          </w:p>
        </w:tc>
      </w:tr>
      <w:tr w:rsidR="00424C1D" w:rsidRPr="00033321" w:rsidTr="00424C1D">
        <w:trPr>
          <w:trHeight w:val="600"/>
        </w:trPr>
        <w:tc>
          <w:tcPr>
            <w:tcW w:w="1485" w:type="dxa"/>
            <w:vMerge/>
            <w:shd w:val="solid" w:color="00B0F0" w:fill="auto"/>
            <w:vAlign w:val="center"/>
            <w:hideMark/>
          </w:tcPr>
          <w:p w:rsidR="00424C1D" w:rsidRPr="00033321" w:rsidRDefault="00424C1D" w:rsidP="00424C1D">
            <w:pPr>
              <w:spacing w:after="0" w:line="240" w:lineRule="auto"/>
              <w:rPr>
                <w:rFonts w:eastAsia="Times New Roman" w:cs="Times New Roman"/>
                <w:b/>
                <w:bCs/>
                <w:color w:val="FFFFFF" w:themeColor="background1"/>
                <w:lang w:eastAsia="zh-CN"/>
              </w:rPr>
            </w:pPr>
          </w:p>
        </w:tc>
        <w:tc>
          <w:tcPr>
            <w:tcW w:w="1915"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Database appliance refresh</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80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80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80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80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80</w:t>
            </w:r>
          </w:p>
        </w:tc>
      </w:tr>
      <w:tr w:rsidR="00424C1D" w:rsidRPr="00033321" w:rsidTr="00424C1D">
        <w:trPr>
          <w:trHeight w:val="900"/>
        </w:trPr>
        <w:tc>
          <w:tcPr>
            <w:tcW w:w="1485" w:type="dxa"/>
            <w:vMerge/>
            <w:shd w:val="solid" w:color="00B0F0" w:fill="auto"/>
            <w:vAlign w:val="center"/>
            <w:hideMark/>
          </w:tcPr>
          <w:p w:rsidR="00424C1D" w:rsidRPr="00033321" w:rsidRDefault="00424C1D" w:rsidP="00424C1D">
            <w:pPr>
              <w:spacing w:after="0" w:line="240" w:lineRule="auto"/>
              <w:rPr>
                <w:rFonts w:eastAsia="Times New Roman" w:cs="Times New Roman"/>
                <w:b/>
                <w:bCs/>
                <w:color w:val="FFFFFF" w:themeColor="background1"/>
                <w:lang w:eastAsia="zh-CN"/>
              </w:rPr>
            </w:pPr>
          </w:p>
        </w:tc>
        <w:tc>
          <w:tcPr>
            <w:tcW w:w="1915"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Application storage environment  refresh</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800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200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200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r>
      <w:tr w:rsidR="00424C1D" w:rsidRPr="00033321" w:rsidTr="00424C1D">
        <w:trPr>
          <w:trHeight w:val="900"/>
        </w:trPr>
        <w:tc>
          <w:tcPr>
            <w:tcW w:w="1485" w:type="dxa"/>
            <w:vMerge/>
            <w:shd w:val="solid" w:color="00B0F0" w:fill="auto"/>
            <w:vAlign w:val="center"/>
            <w:hideMark/>
          </w:tcPr>
          <w:p w:rsidR="00424C1D" w:rsidRPr="00033321" w:rsidRDefault="00424C1D" w:rsidP="00424C1D">
            <w:pPr>
              <w:spacing w:after="0" w:line="240" w:lineRule="auto"/>
              <w:rPr>
                <w:rFonts w:eastAsia="Times New Roman" w:cs="Times New Roman"/>
                <w:b/>
                <w:bCs/>
                <w:color w:val="FFFFFF" w:themeColor="background1"/>
                <w:lang w:eastAsia="zh-CN"/>
              </w:rPr>
            </w:pPr>
          </w:p>
        </w:tc>
        <w:tc>
          <w:tcPr>
            <w:tcW w:w="1915"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Application Switching replacement</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150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r>
      <w:tr w:rsidR="00424C1D" w:rsidRPr="00033321" w:rsidTr="00424C1D">
        <w:trPr>
          <w:trHeight w:val="900"/>
        </w:trPr>
        <w:tc>
          <w:tcPr>
            <w:tcW w:w="1485" w:type="dxa"/>
            <w:vMerge/>
            <w:shd w:val="solid" w:color="00B0F0" w:fill="auto"/>
            <w:vAlign w:val="center"/>
            <w:hideMark/>
          </w:tcPr>
          <w:p w:rsidR="00424C1D" w:rsidRPr="00033321" w:rsidRDefault="00424C1D" w:rsidP="00424C1D">
            <w:pPr>
              <w:spacing w:after="0" w:line="240" w:lineRule="auto"/>
              <w:rPr>
                <w:rFonts w:eastAsia="Times New Roman" w:cs="Times New Roman"/>
                <w:b/>
                <w:bCs/>
                <w:color w:val="FFFFFF" w:themeColor="background1"/>
                <w:lang w:eastAsia="zh-CN"/>
              </w:rPr>
            </w:pPr>
          </w:p>
        </w:tc>
        <w:tc>
          <w:tcPr>
            <w:tcW w:w="1915"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Door and Alarm appliance replacement</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50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50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r>
      <w:tr w:rsidR="00424C1D" w:rsidRPr="00033321" w:rsidTr="00424C1D">
        <w:trPr>
          <w:trHeight w:val="300"/>
        </w:trPr>
        <w:tc>
          <w:tcPr>
            <w:tcW w:w="1485" w:type="dxa"/>
            <w:vMerge/>
            <w:shd w:val="solid" w:color="00B0F0" w:fill="auto"/>
            <w:vAlign w:val="center"/>
            <w:hideMark/>
          </w:tcPr>
          <w:p w:rsidR="00424C1D" w:rsidRPr="00033321" w:rsidRDefault="00424C1D" w:rsidP="00424C1D">
            <w:pPr>
              <w:spacing w:after="0" w:line="240" w:lineRule="auto"/>
              <w:rPr>
                <w:rFonts w:eastAsia="Times New Roman" w:cs="Times New Roman"/>
                <w:b/>
                <w:bCs/>
                <w:color w:val="FFFFFF" w:themeColor="background1"/>
                <w:lang w:eastAsia="zh-CN"/>
              </w:rPr>
            </w:pPr>
          </w:p>
        </w:tc>
        <w:tc>
          <w:tcPr>
            <w:tcW w:w="1915"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File-storage refresh</w:t>
            </w:r>
          </w:p>
        </w:tc>
        <w:tc>
          <w:tcPr>
            <w:tcW w:w="960" w:type="dxa"/>
            <w:shd w:val="solid" w:color="00B0F0"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600</w:t>
            </w:r>
          </w:p>
        </w:tc>
        <w:tc>
          <w:tcPr>
            <w:tcW w:w="960" w:type="dxa"/>
            <w:shd w:val="solid" w:color="00B0F0"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c>
          <w:tcPr>
            <w:tcW w:w="960" w:type="dxa"/>
            <w:shd w:val="solid" w:color="00B0F0"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 </w:t>
            </w:r>
          </w:p>
        </w:tc>
      </w:tr>
      <w:tr w:rsidR="00424C1D" w:rsidRPr="00033321" w:rsidTr="00424C1D">
        <w:trPr>
          <w:trHeight w:val="300"/>
        </w:trPr>
        <w:tc>
          <w:tcPr>
            <w:tcW w:w="1485" w:type="dxa"/>
            <w:vMerge/>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b/>
                <w:bCs/>
                <w:color w:val="FFFFFF" w:themeColor="background1"/>
                <w:lang w:eastAsia="zh-CN"/>
              </w:rPr>
            </w:pPr>
          </w:p>
        </w:tc>
        <w:tc>
          <w:tcPr>
            <w:tcW w:w="1915"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Total</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290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1,240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1,040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440</w:t>
            </w:r>
          </w:p>
        </w:tc>
        <w:tc>
          <w:tcPr>
            <w:tcW w:w="960" w:type="dxa"/>
            <w:shd w:val="solid" w:color="00B0F0"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240</w:t>
            </w:r>
          </w:p>
        </w:tc>
      </w:tr>
      <w:tr w:rsidR="00424C1D" w:rsidRPr="00033321" w:rsidTr="00424C1D">
        <w:trPr>
          <w:trHeight w:val="900"/>
        </w:trPr>
        <w:tc>
          <w:tcPr>
            <w:tcW w:w="1485" w:type="dxa"/>
            <w:vMerge w:val="restart"/>
            <w:shd w:val="solid" w:color="558ED5" w:fill="auto"/>
            <w:hideMark/>
          </w:tcPr>
          <w:p w:rsidR="00424C1D" w:rsidRPr="00033321" w:rsidRDefault="00424C1D" w:rsidP="00424C1D">
            <w:pPr>
              <w:tabs>
                <w:tab w:val="clear" w:pos="720"/>
              </w:tabs>
              <w:suppressAutoHyphens w:val="0"/>
              <w:spacing w:after="0" w:line="240" w:lineRule="auto"/>
              <w:jc w:val="center"/>
              <w:rPr>
                <w:rFonts w:eastAsia="Times New Roman" w:cs="Times New Roman"/>
                <w:b/>
                <w:bCs/>
                <w:color w:val="FFFFFF" w:themeColor="background1"/>
                <w:lang w:eastAsia="zh-CN"/>
              </w:rPr>
            </w:pPr>
            <w:r w:rsidRPr="00033321">
              <w:rPr>
                <w:rFonts w:eastAsia="Times New Roman" w:cs="Times New Roman"/>
                <w:b/>
                <w:bCs/>
                <w:color w:val="FFFFFF" w:themeColor="background1"/>
                <w:lang w:eastAsia="zh-CN"/>
              </w:rPr>
              <w:t>Open Access</w:t>
            </w:r>
          </w:p>
        </w:tc>
        <w:tc>
          <w:tcPr>
            <w:tcW w:w="1915"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Rolling refresh of open access computers</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r>
      <w:tr w:rsidR="00424C1D" w:rsidRPr="00033321" w:rsidTr="00424C1D">
        <w:trPr>
          <w:trHeight w:val="300"/>
        </w:trPr>
        <w:tc>
          <w:tcPr>
            <w:tcW w:w="1485" w:type="dxa"/>
            <w:vMerge/>
            <w:shd w:val="solid" w:color="558ED5" w:fill="auto"/>
            <w:vAlign w:val="center"/>
            <w:hideMark/>
          </w:tcPr>
          <w:p w:rsidR="00424C1D" w:rsidRPr="00033321" w:rsidRDefault="00424C1D" w:rsidP="00424C1D">
            <w:pPr>
              <w:tabs>
                <w:tab w:val="clear" w:pos="720"/>
              </w:tabs>
              <w:suppressAutoHyphens w:val="0"/>
              <w:spacing w:after="0" w:line="240" w:lineRule="auto"/>
              <w:rPr>
                <w:rFonts w:eastAsia="Times New Roman" w:cs="Times New Roman"/>
                <w:b/>
                <w:bCs/>
                <w:color w:val="FFFFFF" w:themeColor="background1"/>
                <w:lang w:eastAsia="zh-CN"/>
              </w:rPr>
            </w:pPr>
          </w:p>
        </w:tc>
        <w:tc>
          <w:tcPr>
            <w:tcW w:w="1915" w:type="dxa"/>
            <w:shd w:val="solid" w:color="558ED5" w:fill="auto"/>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Total</w:t>
            </w:r>
          </w:p>
        </w:tc>
        <w:tc>
          <w:tcPr>
            <w:tcW w:w="960" w:type="dxa"/>
            <w:shd w:val="solid" w:color="558ED5"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c>
          <w:tcPr>
            <w:tcW w:w="960" w:type="dxa"/>
            <w:shd w:val="solid" w:color="558ED5" w:fill="auto"/>
            <w:noWrap/>
            <w:vAlign w:val="bottom"/>
            <w:hideMark/>
          </w:tcPr>
          <w:p w:rsidR="00424C1D" w:rsidRPr="00033321" w:rsidRDefault="00424C1D" w:rsidP="00424C1D">
            <w:pPr>
              <w:tabs>
                <w:tab w:val="clear" w:pos="720"/>
              </w:tabs>
              <w:suppressAutoHyphens w:val="0"/>
              <w:spacing w:after="0" w:line="240" w:lineRule="auto"/>
              <w:rPr>
                <w:rFonts w:eastAsia="Times New Roman" w:cs="Times New Roman"/>
                <w:color w:val="FFFFFF" w:themeColor="background1"/>
                <w:lang w:eastAsia="zh-CN"/>
              </w:rPr>
            </w:pPr>
            <w:r w:rsidRPr="00033321">
              <w:rPr>
                <w:rFonts w:eastAsia="Times New Roman" w:cs="Times New Roman"/>
                <w:color w:val="FFFFFF" w:themeColor="background1"/>
                <w:lang w:eastAsia="zh-CN"/>
              </w:rPr>
              <w:t>180</w:t>
            </w:r>
          </w:p>
        </w:tc>
      </w:tr>
    </w:tbl>
    <w:p w:rsidR="00424C1D" w:rsidRDefault="00424C1D" w:rsidP="00424C1D">
      <w:pPr>
        <w:tabs>
          <w:tab w:val="clear" w:pos="720"/>
        </w:tabs>
        <w:suppressAutoHyphens w:val="0"/>
      </w:pPr>
    </w:p>
    <w:p w:rsidR="00424C1D" w:rsidRPr="002B5BFA" w:rsidRDefault="00424C1D" w:rsidP="00424C1D">
      <w:pPr>
        <w:tabs>
          <w:tab w:val="clear" w:pos="720"/>
        </w:tabs>
        <w:suppressAutoHyphens w:val="0"/>
      </w:pPr>
      <w:r w:rsidRPr="002B5BFA">
        <w:br w:type="page"/>
      </w:r>
    </w:p>
    <w:p w:rsidR="00424C1D" w:rsidRDefault="00424C1D" w:rsidP="00424C1D">
      <w:pPr>
        <w:pStyle w:val="Heading2"/>
        <w:numPr>
          <w:ilvl w:val="1"/>
          <w:numId w:val="2"/>
        </w:numPr>
      </w:pPr>
      <w:r>
        <w:lastRenderedPageBreak/>
        <w:t>Appendix C - Costing Methodology and Assumptions</w:t>
      </w:r>
    </w:p>
    <w:p w:rsidR="00424C1D" w:rsidRDefault="00424C1D" w:rsidP="00424C1D">
      <w:pPr>
        <w:pStyle w:val="Textbody"/>
      </w:pPr>
      <w:r>
        <w:t>We have consulted with the Finance department and our approach to costing is based on that advice.</w:t>
      </w:r>
    </w:p>
    <w:p w:rsidR="00424C1D" w:rsidRDefault="00424C1D" w:rsidP="00424C1D">
      <w:pPr>
        <w:pStyle w:val="Textbody"/>
      </w:pPr>
      <w:r>
        <w:t xml:space="preserve">Project costs have been calculated and split between capital and revenue costs of undertaking the project to completion. Where possible, maintenance costs have been treated as revenue however some suppliers do not itemise this cost separately from their hardware products. </w:t>
      </w:r>
    </w:p>
    <w:p w:rsidR="00424C1D" w:rsidRDefault="00424C1D" w:rsidP="00424C1D">
      <w:pPr>
        <w:pStyle w:val="Textbody"/>
      </w:pPr>
      <w:r>
        <w:t xml:space="preserve">Changes in operational costs and savings have been included where there is a change to the normal level of expenditure as a result of the projects. This is referred to as the opportunity cost. Where opportunity costs and savings have been identified, these have been attributed to the relevant University budget areas. </w:t>
      </w:r>
    </w:p>
    <w:p w:rsidR="00424C1D" w:rsidRDefault="00424C1D" w:rsidP="00424C1D">
      <w:pPr>
        <w:pStyle w:val="Textbody"/>
      </w:pPr>
      <w:r>
        <w:t xml:space="preserve">In accordance with University capital policy, equipment has been depreciated over four years rather than the useful economic life of the asset. </w:t>
      </w:r>
    </w:p>
    <w:p w:rsidR="00424C1D" w:rsidRDefault="00424C1D" w:rsidP="00424C1D">
      <w:pPr>
        <w:pStyle w:val="Textbody"/>
      </w:pPr>
      <w:r>
        <w:t>Operational costs are initial estimates and are provided as initial indications of level of spend.  A level of confidence is provided for capital and operational costs, indicating the scale of variation in cost possible for the project.</w:t>
      </w:r>
    </w:p>
    <w:p w:rsidR="00424C1D" w:rsidRDefault="00424C1D" w:rsidP="00424C1D">
      <w:pPr>
        <w:tabs>
          <w:tab w:val="clear" w:pos="720"/>
        </w:tabs>
        <w:suppressAutoHyphens w:val="0"/>
        <w:rPr>
          <w:rFonts w:ascii="Cambria" w:hAnsi="Cambria"/>
          <w:b/>
          <w:bCs/>
          <w:color w:val="4F81BD"/>
          <w:sz w:val="26"/>
          <w:szCs w:val="26"/>
        </w:rPr>
      </w:pPr>
      <w:r>
        <w:br w:type="page"/>
      </w:r>
    </w:p>
    <w:p w:rsidR="00424C1D" w:rsidRDefault="00424C1D" w:rsidP="00424C1D">
      <w:pPr>
        <w:pStyle w:val="Heading2"/>
        <w:numPr>
          <w:ilvl w:val="1"/>
          <w:numId w:val="2"/>
        </w:numPr>
      </w:pPr>
      <w:r>
        <w:lastRenderedPageBreak/>
        <w:t>Appendix D - Strategy Themes</w:t>
      </w:r>
    </w:p>
    <w:p w:rsidR="00424C1D" w:rsidRDefault="00424C1D" w:rsidP="00424C1D">
      <w:pPr>
        <w:pStyle w:val="Textbody"/>
      </w:pPr>
      <w:r>
        <w:t>We have used the themes, objectives, strategies and goals from the University’s Strategic Plan 2012 – 2016 to demonstrate the business need for the proposed IT Infrastructure projects.  These projects are a reaction to developments within the University’s business and will underpin strands of institutional activity in both education and research.</w:t>
      </w:r>
    </w:p>
    <w:p w:rsidR="00424C1D" w:rsidRDefault="00424C1D" w:rsidP="00424C1D">
      <w:pPr>
        <w:pStyle w:val="Textbody"/>
      </w:pPr>
      <w:r>
        <w:t>The strategic “tags” (in bold below) used to link projects to business need, are listed below with the relevant text from the Strategic Plan.</w:t>
      </w:r>
    </w:p>
    <w:p w:rsidR="00424C1D" w:rsidRDefault="00424C1D" w:rsidP="00424C1D">
      <w:pPr>
        <w:pStyle w:val="Textbody"/>
        <w:numPr>
          <w:ilvl w:val="0"/>
          <w:numId w:val="6"/>
        </w:numPr>
      </w:pPr>
      <w:r>
        <w:rPr>
          <w:b/>
          <w:bCs/>
        </w:rPr>
        <w:t>Outstanding Student Experience</w:t>
      </w:r>
      <w:r>
        <w:t xml:space="preserve"> : “Outstanding student experience” (S</w:t>
      </w:r>
      <w:r>
        <w:rPr>
          <w:i/>
          <w:iCs/>
        </w:rPr>
        <w:t xml:space="preserve">trategic Theme) </w:t>
      </w:r>
      <w:r>
        <w:t xml:space="preserve"> </w:t>
      </w:r>
    </w:p>
    <w:p w:rsidR="00424C1D" w:rsidRPr="00DE5074" w:rsidRDefault="00424C1D" w:rsidP="00424C1D">
      <w:pPr>
        <w:pStyle w:val="Textbody"/>
        <w:numPr>
          <w:ilvl w:val="0"/>
          <w:numId w:val="6"/>
        </w:numPr>
      </w:pPr>
      <w:r>
        <w:rPr>
          <w:b/>
          <w:bCs/>
        </w:rPr>
        <w:t xml:space="preserve">Social Responsibility (Green IT) </w:t>
      </w:r>
      <w:r>
        <w:t xml:space="preserve">: “Social responsibility” </w:t>
      </w:r>
      <w:r>
        <w:rPr>
          <w:i/>
          <w:iCs/>
        </w:rPr>
        <w:t>(Strategic Theme)</w:t>
      </w:r>
    </w:p>
    <w:p w:rsidR="00424C1D" w:rsidRDefault="00424C1D" w:rsidP="00424C1D">
      <w:pPr>
        <w:pStyle w:val="Textbody"/>
        <w:numPr>
          <w:ilvl w:val="0"/>
          <w:numId w:val="6"/>
        </w:numPr>
        <w:shd w:val="clear" w:color="auto" w:fill="FFFFFF"/>
      </w:pPr>
      <w:r>
        <w:rPr>
          <w:b/>
          <w:bCs/>
        </w:rPr>
        <w:t>Distance Education Provision</w:t>
      </w:r>
      <w:r>
        <w:t xml:space="preserve"> : “expanding and enhancing our distance education provision" (</w:t>
      </w:r>
      <w:r>
        <w:rPr>
          <w:i/>
          <w:iCs/>
        </w:rPr>
        <w:t>Excellence in Education Strategic Goal</w:t>
      </w:r>
      <w:r>
        <w:t>)</w:t>
      </w:r>
    </w:p>
    <w:p w:rsidR="00424C1D" w:rsidRDefault="00424C1D" w:rsidP="00424C1D">
      <w:pPr>
        <w:pStyle w:val="Textbody"/>
        <w:numPr>
          <w:ilvl w:val="0"/>
          <w:numId w:val="6"/>
        </w:numPr>
        <w:shd w:val="clear" w:color="auto" w:fill="FFFFFF"/>
      </w:pPr>
      <w:r>
        <w:rPr>
          <w:b/>
          <w:bCs/>
        </w:rPr>
        <w:t>New Technologies in Education</w:t>
      </w:r>
      <w:r>
        <w:t xml:space="preserve"> : “enabling our staff to embrace new technologies as part of enhancing the learning experience, and to deliver prompt and effective feedback" (</w:t>
      </w:r>
      <w:r>
        <w:rPr>
          <w:i/>
          <w:iCs/>
        </w:rPr>
        <w:t>Excellence in Education Strategic Goal</w:t>
      </w:r>
      <w:r>
        <w:t>)</w:t>
      </w:r>
    </w:p>
    <w:p w:rsidR="00424C1D" w:rsidRDefault="00424C1D" w:rsidP="00424C1D">
      <w:pPr>
        <w:pStyle w:val="Textbody"/>
        <w:numPr>
          <w:ilvl w:val="0"/>
          <w:numId w:val="6"/>
        </w:numPr>
        <w:shd w:val="clear" w:color="auto" w:fill="FFFFFF"/>
      </w:pPr>
      <w:r>
        <w:rPr>
          <w:b/>
          <w:bCs/>
        </w:rPr>
        <w:t xml:space="preserve">Efficiency in research support </w:t>
      </w:r>
      <w:r>
        <w:rPr>
          <w:i/>
          <w:iCs/>
        </w:rPr>
        <w:t xml:space="preserve">: </w:t>
      </w:r>
      <w:r>
        <w:t>“driving forward sustainable use of equipment, and efficiency in other research costs” (</w:t>
      </w:r>
      <w:r>
        <w:rPr>
          <w:i/>
          <w:iCs/>
        </w:rPr>
        <w:t>Excellence In Research Strategy)</w:t>
      </w:r>
    </w:p>
    <w:p w:rsidR="00424C1D" w:rsidRDefault="00424C1D" w:rsidP="00424C1D">
      <w:pPr>
        <w:pStyle w:val="Textbody"/>
        <w:numPr>
          <w:ilvl w:val="0"/>
          <w:numId w:val="6"/>
        </w:numPr>
        <w:shd w:val="clear" w:color="auto" w:fill="FFFFFF"/>
      </w:pPr>
      <w:r>
        <w:rPr>
          <w:b/>
          <w:bCs/>
        </w:rPr>
        <w:t>Support for Pioneering Research</w:t>
      </w:r>
      <w:r>
        <w:rPr>
          <w:i/>
          <w:iCs/>
        </w:rPr>
        <w:t xml:space="preserve"> : </w:t>
      </w:r>
      <w:r>
        <w:t>“pioneer new and emerging areas of research across the boundaries of traditional disciplines”</w:t>
      </w:r>
      <w:r>
        <w:rPr>
          <w:i/>
          <w:iCs/>
        </w:rPr>
        <w:t xml:space="preserve"> (Excellence In Research Strategic Objective) </w:t>
      </w:r>
    </w:p>
    <w:p w:rsidR="00424C1D" w:rsidRDefault="00424C1D" w:rsidP="00424C1D">
      <w:pPr>
        <w:pStyle w:val="Textbody"/>
        <w:numPr>
          <w:ilvl w:val="0"/>
          <w:numId w:val="6"/>
        </w:numPr>
        <w:shd w:val="clear" w:color="auto" w:fill="FFFFFF"/>
      </w:pPr>
      <w:r>
        <w:rPr>
          <w:b/>
          <w:bCs/>
        </w:rPr>
        <w:t xml:space="preserve">Promoting flexible and interdisciplinary working </w:t>
      </w:r>
      <w:r>
        <w:rPr>
          <w:i/>
          <w:iCs/>
        </w:rPr>
        <w:t xml:space="preserve">: </w:t>
      </w:r>
      <w:r>
        <w:t xml:space="preserve"> "promoting flexible and interdisciplinary working" (</w:t>
      </w:r>
      <w:r>
        <w:rPr>
          <w:i/>
          <w:iCs/>
        </w:rPr>
        <w:t>Strategic Enabler: People</w:t>
      </w:r>
      <w:r>
        <w:t xml:space="preserve">) </w:t>
      </w:r>
    </w:p>
    <w:p w:rsidR="00424C1D" w:rsidRDefault="00424C1D" w:rsidP="00424C1D">
      <w:pPr>
        <w:pStyle w:val="Textbody"/>
        <w:numPr>
          <w:ilvl w:val="0"/>
          <w:numId w:val="6"/>
        </w:numPr>
        <w:shd w:val="clear" w:color="auto" w:fill="FFFFFF"/>
      </w:pPr>
      <w:r>
        <w:rPr>
          <w:b/>
          <w:bCs/>
        </w:rPr>
        <w:t>Financial efficiency</w:t>
      </w:r>
      <w:r>
        <w:t xml:space="preserve"> : "keeping the balance between our recurrent and capital spend under review"  (</w:t>
      </w:r>
      <w:r>
        <w:rPr>
          <w:i/>
          <w:iCs/>
        </w:rPr>
        <w:t>Strategic</w:t>
      </w:r>
      <w:r>
        <w:t xml:space="preserve"> </w:t>
      </w:r>
      <w:r>
        <w:rPr>
          <w:i/>
          <w:iCs/>
        </w:rPr>
        <w:t>Enabler: Finance</w:t>
      </w:r>
      <w:r>
        <w:t>)</w:t>
      </w:r>
      <w:r>
        <w:rPr>
          <w:i/>
          <w:iCs/>
        </w:rPr>
        <w:t xml:space="preserve"> </w:t>
      </w:r>
    </w:p>
    <w:p w:rsidR="00424C1D" w:rsidRDefault="00424C1D" w:rsidP="00424C1D">
      <w:pPr>
        <w:pStyle w:val="Textbody"/>
        <w:numPr>
          <w:ilvl w:val="0"/>
          <w:numId w:val="7"/>
        </w:numPr>
      </w:pPr>
      <w:r>
        <w:rPr>
          <w:b/>
          <w:bCs/>
        </w:rPr>
        <w:t>Agile Infrastructure</w:t>
      </w:r>
      <w:r>
        <w:rPr>
          <w:i/>
          <w:iCs/>
        </w:rPr>
        <w:t xml:space="preserve"> : </w:t>
      </w:r>
      <w:r>
        <w:t>“adapting our infrastructure to meet the changing needs, approaches and working patterns of our diverse population of staff and students and the wider community we serve to best support our world-class academic activity” (</w:t>
      </w:r>
      <w:r>
        <w:rPr>
          <w:i/>
          <w:iCs/>
        </w:rPr>
        <w:t>Strategic Enabler: Infrastructure</w:t>
      </w:r>
      <w:r>
        <w:t xml:space="preserve">) </w:t>
      </w:r>
      <w:r>
        <w:rPr>
          <w:i/>
          <w:iCs/>
        </w:rPr>
        <w:t xml:space="preserve"> </w:t>
      </w:r>
    </w:p>
    <w:p w:rsidR="00424C1D" w:rsidRDefault="00424C1D" w:rsidP="00424C1D">
      <w:pPr>
        <w:pStyle w:val="Textbody"/>
        <w:numPr>
          <w:ilvl w:val="0"/>
          <w:numId w:val="7"/>
        </w:numPr>
      </w:pPr>
      <w:r>
        <w:rPr>
          <w:b/>
          <w:bCs/>
        </w:rPr>
        <w:t>Infrastructure Power and Resilience</w:t>
      </w:r>
      <w:r>
        <w:t xml:space="preserve"> : “putting in place information and communications technology with the power and resilience to provide easy access to resources, and to support individual and group study and working, both on-campus and mobile” (</w:t>
      </w:r>
      <w:r>
        <w:rPr>
          <w:i/>
          <w:iCs/>
        </w:rPr>
        <w:t>Strategic Enabler: Infrastructure</w:t>
      </w:r>
      <w:r>
        <w:t>)</w:t>
      </w:r>
    </w:p>
    <w:p w:rsidR="00424C1D" w:rsidRDefault="00424C1D" w:rsidP="00424C1D">
      <w:pPr>
        <w:pStyle w:val="Textbody"/>
        <w:numPr>
          <w:ilvl w:val="0"/>
          <w:numId w:val="7"/>
        </w:numPr>
      </w:pPr>
      <w:r>
        <w:rPr>
          <w:b/>
          <w:bCs/>
        </w:rPr>
        <w:t>Responding to Future Technologies</w:t>
      </w:r>
      <w:r>
        <w:t xml:space="preserve"> : “identifying future technological developments and positioning ourselves to rapidly and flexibly respond to these”(</w:t>
      </w:r>
      <w:r>
        <w:rPr>
          <w:i/>
          <w:iCs/>
        </w:rPr>
        <w:t>Strategic Enabler: Infrastructure</w:t>
      </w:r>
      <w:r>
        <w:t>)</w:t>
      </w:r>
    </w:p>
    <w:p w:rsidR="00424C1D" w:rsidRDefault="00424C1D" w:rsidP="00424C1D"/>
    <w:p w:rsidR="00B1513C" w:rsidRDefault="00B1513C">
      <w:pPr>
        <w:tabs>
          <w:tab w:val="clear" w:pos="720"/>
        </w:tabs>
        <w:suppressAutoHyphens w:val="0"/>
      </w:pPr>
      <w:r>
        <w:br w:type="page"/>
      </w:r>
    </w:p>
    <w:p w:rsidR="00B1513C" w:rsidRDefault="00B1513C" w:rsidP="00B1513C">
      <w:pPr>
        <w:pStyle w:val="Heading2"/>
        <w:numPr>
          <w:ilvl w:val="1"/>
          <w:numId w:val="2"/>
        </w:numPr>
      </w:pPr>
      <w:r>
        <w:lastRenderedPageBreak/>
        <w:t>Appendix E – Infrastructure Domains</w:t>
      </w:r>
    </w:p>
    <w:p w:rsidR="00B1513C" w:rsidRPr="00B1513C" w:rsidRDefault="00B1513C" w:rsidP="00B1513C">
      <w:pPr>
        <w:pStyle w:val="Textbody"/>
      </w:pP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The following sections </w:t>
      </w:r>
      <w:r w:rsidR="00414D63" w:rsidRPr="00414D63">
        <w:rPr>
          <w:rFonts w:asciiTheme="minorHAnsi" w:eastAsiaTheme="minorHAnsi" w:hAnsiTheme="minorHAnsi" w:cstheme="minorBidi"/>
          <w:color w:val="auto"/>
        </w:rPr>
        <w:t>provide</w:t>
      </w:r>
      <w:r w:rsidRPr="00414D63">
        <w:rPr>
          <w:rFonts w:asciiTheme="minorHAnsi" w:eastAsiaTheme="minorHAnsi" w:hAnsiTheme="minorHAnsi" w:cstheme="minorBidi"/>
          <w:color w:val="auto"/>
        </w:rPr>
        <w:t xml:space="preserve"> simple descriptions of the current arrangements for each</w:t>
      </w:r>
      <w:r w:rsidR="00414D63" w:rsidRPr="00414D63">
        <w:rPr>
          <w:rFonts w:asciiTheme="minorHAnsi" w:eastAsiaTheme="minorHAnsi" w:hAnsiTheme="minorHAnsi" w:cstheme="minorBidi"/>
          <w:color w:val="auto"/>
        </w:rPr>
        <w:t xml:space="preserve"> infrastructure domain.</w:t>
      </w:r>
    </w:p>
    <w:p w:rsidR="00B1513C" w:rsidRPr="00414D63" w:rsidRDefault="00B1513C" w:rsidP="00B1513C">
      <w:pPr>
        <w:keepNext/>
        <w:keepLines/>
        <w:numPr>
          <w:ilvl w:val="0"/>
          <w:numId w:val="13"/>
        </w:numPr>
        <w:tabs>
          <w:tab w:val="clear" w:pos="720"/>
        </w:tabs>
        <w:suppressAutoHyphens w:val="0"/>
        <w:spacing w:before="200" w:after="0"/>
        <w:ind w:left="0" w:firstLine="0"/>
        <w:outlineLvl w:val="2"/>
        <w:rPr>
          <w:rFonts w:asciiTheme="majorHAnsi" w:eastAsiaTheme="majorEastAsia" w:hAnsiTheme="majorHAnsi" w:cstheme="majorBidi"/>
          <w:b/>
          <w:bCs/>
          <w:color w:val="4F81BD" w:themeColor="accent1"/>
        </w:rPr>
      </w:pPr>
      <w:r w:rsidRPr="00414D63">
        <w:rPr>
          <w:rFonts w:asciiTheme="majorHAnsi" w:eastAsiaTheme="majorEastAsia" w:hAnsiTheme="majorHAnsi" w:cstheme="majorBidi"/>
          <w:b/>
          <w:bCs/>
          <w:color w:val="4F81BD" w:themeColor="accent1"/>
        </w:rPr>
        <w:t>Desktop</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The desktop service comprises of two main components – </w:t>
      </w:r>
    </w:p>
    <w:p w:rsidR="00B1513C" w:rsidRPr="00414D63" w:rsidRDefault="00B1513C" w:rsidP="00B1513C">
      <w:pPr>
        <w:numPr>
          <w:ilvl w:val="0"/>
          <w:numId w:val="13"/>
        </w:numPr>
        <w:tabs>
          <w:tab w:val="clear" w:pos="720"/>
        </w:tabs>
        <w:suppressAutoHyphens w:val="0"/>
        <w:contextualSpacing/>
        <w:rPr>
          <w:rFonts w:asciiTheme="minorHAnsi" w:eastAsiaTheme="minorHAnsi" w:hAnsiTheme="minorHAnsi" w:cstheme="minorBidi"/>
          <w:color w:val="auto"/>
        </w:rPr>
      </w:pPr>
      <w:proofErr w:type="gramStart"/>
      <w:r w:rsidRPr="00414D63">
        <w:rPr>
          <w:rFonts w:asciiTheme="minorHAnsi" w:eastAsiaTheme="minorHAnsi" w:hAnsiTheme="minorHAnsi" w:cstheme="minorBidi"/>
          <w:color w:val="auto"/>
        </w:rPr>
        <w:t>the</w:t>
      </w:r>
      <w:proofErr w:type="gramEnd"/>
      <w:r w:rsidRPr="00414D63">
        <w:rPr>
          <w:rFonts w:asciiTheme="minorHAnsi" w:eastAsiaTheme="minorHAnsi" w:hAnsiTheme="minorHAnsi" w:cstheme="minorBidi"/>
          <w:color w:val="auto"/>
        </w:rPr>
        <w:t xml:space="preserve"> delivery of software – 3 operating systems, applications like browsers, Microsoft office, and specialist applications such as SPS for statistical analysis.</w:t>
      </w:r>
    </w:p>
    <w:p w:rsidR="00B1513C" w:rsidRPr="00414D63" w:rsidRDefault="00B1513C" w:rsidP="00B1513C">
      <w:pPr>
        <w:numPr>
          <w:ilvl w:val="0"/>
          <w:numId w:val="13"/>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The supply of hardware for open access areas for student use – this varies from machines in libraries through to specialist suites, currently about 1500 seats with over 95% of the systems running Windows.</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The pcs and software licenses used by staff are purchased from their School or research group budgets so it is only the cost of the open access machines which have been considered in the roadmap. </w:t>
      </w:r>
    </w:p>
    <w:p w:rsidR="00B1513C" w:rsidRPr="00414D63" w:rsidRDefault="00B1513C" w:rsidP="00B1513C">
      <w:pPr>
        <w:keepNext/>
        <w:keepLines/>
        <w:numPr>
          <w:ilvl w:val="0"/>
          <w:numId w:val="13"/>
        </w:numPr>
        <w:tabs>
          <w:tab w:val="clear" w:pos="720"/>
        </w:tabs>
        <w:suppressAutoHyphens w:val="0"/>
        <w:spacing w:before="200" w:after="0"/>
        <w:ind w:left="0" w:firstLine="0"/>
        <w:outlineLvl w:val="2"/>
        <w:rPr>
          <w:rFonts w:asciiTheme="majorHAnsi" w:eastAsiaTheme="majorEastAsia" w:hAnsiTheme="majorHAnsi" w:cstheme="majorBidi"/>
          <w:b/>
          <w:bCs/>
          <w:color w:val="4F81BD" w:themeColor="accent1"/>
        </w:rPr>
      </w:pPr>
      <w:r w:rsidRPr="00414D63">
        <w:rPr>
          <w:rFonts w:asciiTheme="majorHAnsi" w:eastAsiaTheme="majorEastAsia" w:hAnsiTheme="majorHAnsi" w:cstheme="majorBidi"/>
          <w:b/>
          <w:bCs/>
          <w:color w:val="4F81BD" w:themeColor="accent1"/>
        </w:rPr>
        <w:t>Hardware</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This is our server and storage estate. We have divided the servers into 3 categories</w:t>
      </w:r>
    </w:p>
    <w:p w:rsidR="00B1513C" w:rsidRPr="00414D63" w:rsidRDefault="00B1513C" w:rsidP="00B1513C">
      <w:pPr>
        <w:numPr>
          <w:ilvl w:val="0"/>
          <w:numId w:val="14"/>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Research platforms, such as high through put and high performance machines. These are the platforms that researchers can use to perform analysis and visualisation tasks that are generally beyond the computational power of desktop machines. </w:t>
      </w:r>
    </w:p>
    <w:p w:rsidR="00B1513C" w:rsidRPr="00414D63" w:rsidRDefault="00B1513C" w:rsidP="00B1513C">
      <w:pPr>
        <w:numPr>
          <w:ilvl w:val="0"/>
          <w:numId w:val="14"/>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Virtual servers – our workhorse platform to run the enterprise applications. Our switch from physical machines to virtual machines is around 80% complete. We used to have about 150 physical servers, this has reduced to about 50 machines whilst at the same time the number of servers we need to run the enterprise has increased to around 600 virtual servers. So a 3 fold reduction in machinery and capital cost whilst accommodating a 4 fold increase in demand. We have largely reached the end of server virtualisation savings.</w:t>
      </w:r>
    </w:p>
    <w:p w:rsidR="00B1513C" w:rsidRPr="00414D63" w:rsidRDefault="00B1513C" w:rsidP="00B1513C">
      <w:pPr>
        <w:numPr>
          <w:ilvl w:val="0"/>
          <w:numId w:val="14"/>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Appliances – these are specialist servers where virtualisation is not feasible examples include access door management, VoIP telephone exchanges, Oracle database servers. The strategy is to minimise the need for appliances.</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The server estate is divided over the three machine rooms so that we can provide disaster recovery at an appropriate service level for differing services.</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Storage also has three categories:</w:t>
      </w:r>
    </w:p>
    <w:p w:rsidR="00B1513C" w:rsidRPr="00414D63" w:rsidRDefault="00B1513C" w:rsidP="00B1513C">
      <w:pPr>
        <w:numPr>
          <w:ilvl w:val="0"/>
          <w:numId w:val="15"/>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File storage – this is the biggest volume of data and is where working research data is stored, web pages, office documents, etc. Currently 1.6PB and expected to double every couple of years.</w:t>
      </w:r>
    </w:p>
    <w:p w:rsidR="00B1513C" w:rsidRPr="00414D63" w:rsidRDefault="00B1513C" w:rsidP="00B1513C">
      <w:pPr>
        <w:numPr>
          <w:ilvl w:val="0"/>
          <w:numId w:val="15"/>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Enterprise data storage – typically this is highly structured data held in databases used by transactional systems such as student records, virtual learning environments, </w:t>
      </w:r>
      <w:proofErr w:type="spellStart"/>
      <w:r w:rsidRPr="00414D63">
        <w:rPr>
          <w:rFonts w:asciiTheme="minorHAnsi" w:eastAsiaTheme="minorHAnsi" w:hAnsiTheme="minorHAnsi" w:cstheme="minorBidi"/>
          <w:color w:val="auto"/>
        </w:rPr>
        <w:t>MyEd</w:t>
      </w:r>
      <w:proofErr w:type="spellEnd"/>
      <w:r w:rsidRPr="00414D63">
        <w:rPr>
          <w:rFonts w:asciiTheme="minorHAnsi" w:eastAsiaTheme="minorHAnsi" w:hAnsiTheme="minorHAnsi" w:cstheme="minorBidi"/>
          <w:color w:val="auto"/>
        </w:rPr>
        <w:t>, etc. Compared to file storage the volumes are small but the performance needed is much greater to both ensure application level performance and the necessary resilience to provide continuity in the event of a disaster. Storage volumes are 250TB</w:t>
      </w:r>
    </w:p>
    <w:p w:rsidR="00B1513C" w:rsidRDefault="00B1513C" w:rsidP="00B1513C">
      <w:pPr>
        <w:numPr>
          <w:ilvl w:val="0"/>
          <w:numId w:val="15"/>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lastRenderedPageBreak/>
        <w:t>Backup – we are consolidating to have a single backup service running across both file and enterprise data storage. Backup provides the ultimate disaster recovery platform.</w:t>
      </w:r>
    </w:p>
    <w:p w:rsidR="00CE369E" w:rsidRPr="00414D63" w:rsidRDefault="00CE369E" w:rsidP="00CE369E">
      <w:pPr>
        <w:tabs>
          <w:tab w:val="clear" w:pos="720"/>
        </w:tabs>
        <w:suppressAutoHyphens w:val="0"/>
        <w:ind w:left="720"/>
        <w:contextualSpacing/>
        <w:rPr>
          <w:rFonts w:asciiTheme="minorHAnsi" w:eastAsiaTheme="minorHAnsi" w:hAnsiTheme="minorHAnsi" w:cstheme="minorBidi"/>
          <w:color w:val="auto"/>
        </w:rPr>
      </w:pPr>
    </w:p>
    <w:p w:rsidR="00B1513C" w:rsidRPr="00414D63" w:rsidRDefault="00B1513C" w:rsidP="00B1513C">
      <w:pPr>
        <w:keepNext/>
        <w:keepLines/>
        <w:numPr>
          <w:ilvl w:val="0"/>
          <w:numId w:val="13"/>
        </w:numPr>
        <w:tabs>
          <w:tab w:val="clear" w:pos="720"/>
        </w:tabs>
        <w:suppressAutoHyphens w:val="0"/>
        <w:spacing w:before="200" w:after="0"/>
        <w:ind w:left="0" w:firstLine="0"/>
        <w:outlineLvl w:val="2"/>
        <w:rPr>
          <w:rFonts w:asciiTheme="majorHAnsi" w:eastAsiaTheme="majorEastAsia" w:hAnsiTheme="majorHAnsi" w:cstheme="majorBidi"/>
          <w:b/>
          <w:bCs/>
          <w:color w:val="4F81BD" w:themeColor="accent1"/>
        </w:rPr>
      </w:pPr>
      <w:r w:rsidRPr="00414D63">
        <w:rPr>
          <w:rFonts w:asciiTheme="majorHAnsi" w:eastAsiaTheme="majorEastAsia" w:hAnsiTheme="majorHAnsi" w:cstheme="majorBidi"/>
          <w:b/>
          <w:bCs/>
          <w:color w:val="4F81BD" w:themeColor="accent1"/>
        </w:rPr>
        <w:t>Network and Telecommunications</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Our network design is constructed around the concept of the core and the edge. The core connects the main campuses with the internet and the edge distributes the data to and from the core network to the individual devices.</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The core is constructed in a mesh topology such that a single break in the mesh does not compromise the delivery of service. We have 2 nodes in the core network – </w:t>
      </w:r>
    </w:p>
    <w:p w:rsidR="00B1513C" w:rsidRPr="00414D63" w:rsidRDefault="00B1513C" w:rsidP="00B1513C">
      <w:pPr>
        <w:numPr>
          <w:ilvl w:val="0"/>
          <w:numId w:val="16"/>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Kings Buildings - JCMB</w:t>
      </w:r>
    </w:p>
    <w:p w:rsidR="00B1513C" w:rsidRPr="00414D63" w:rsidRDefault="00B1513C" w:rsidP="00B1513C">
      <w:pPr>
        <w:numPr>
          <w:ilvl w:val="0"/>
          <w:numId w:val="16"/>
        </w:numPr>
        <w:tabs>
          <w:tab w:val="clear" w:pos="720"/>
        </w:tabs>
        <w:suppressAutoHyphens w:val="0"/>
        <w:contextualSpacing/>
        <w:rPr>
          <w:rFonts w:asciiTheme="minorHAnsi" w:eastAsiaTheme="minorHAnsi" w:hAnsiTheme="minorHAnsi" w:cstheme="minorBidi"/>
          <w:color w:val="auto"/>
        </w:rPr>
      </w:pPr>
      <w:r w:rsidRPr="00414D63">
        <w:rPr>
          <w:rFonts w:asciiTheme="minorHAnsi" w:eastAsiaTheme="minorHAnsi" w:hAnsiTheme="minorHAnsi" w:cstheme="minorBidi"/>
          <w:color w:val="auto"/>
        </w:rPr>
        <w:t>Central Area - Appleton Tower</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Each of those nodes is connected by dual path fibre, </w:t>
      </w:r>
      <w:proofErr w:type="spellStart"/>
      <w:r w:rsidRPr="00414D63">
        <w:rPr>
          <w:rFonts w:asciiTheme="minorHAnsi" w:eastAsiaTheme="minorHAnsi" w:hAnsiTheme="minorHAnsi" w:cstheme="minorBidi"/>
          <w:color w:val="auto"/>
        </w:rPr>
        <w:t>ie</w:t>
      </w:r>
      <w:proofErr w:type="spellEnd"/>
      <w:r w:rsidRPr="00414D63">
        <w:rPr>
          <w:rFonts w:asciiTheme="minorHAnsi" w:eastAsiaTheme="minorHAnsi" w:hAnsiTheme="minorHAnsi" w:cstheme="minorBidi"/>
          <w:color w:val="auto"/>
        </w:rPr>
        <w:t xml:space="preserve"> the fibre is not all in the same trench. We are connected to the Internet from both nodes. Losing a connection or a node will not stop the core service. </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Core network </w:t>
      </w:r>
    </w:p>
    <w:p w:rsidR="00B1513C" w:rsidRPr="00414D63" w:rsidRDefault="00B1513C" w:rsidP="00B1513C">
      <w:pPr>
        <w:tabs>
          <w:tab w:val="clear" w:pos="720"/>
        </w:tabs>
        <w:suppressAutoHyphens w:val="0"/>
        <w:jc w:val="center"/>
        <w:rPr>
          <w:rFonts w:asciiTheme="minorHAnsi" w:eastAsiaTheme="minorHAnsi" w:hAnsiTheme="minorHAnsi" w:cstheme="minorBidi"/>
          <w:color w:val="auto"/>
        </w:rPr>
      </w:pPr>
      <w:r w:rsidRPr="00414D63">
        <w:rPr>
          <w:rFonts w:asciiTheme="minorHAnsi" w:eastAsiaTheme="minorHAnsi" w:hAnsiTheme="minorHAnsi" w:cstheme="minorBidi"/>
          <w:color w:val="auto"/>
        </w:rPr>
        <w:object w:dxaOrig="8334" w:dyaOrig="2674" w14:anchorId="0524A778">
          <v:shape id="_x0000_i1029" type="#_x0000_t75" style="width:415.7pt;height:133.35pt" o:ole="">
            <v:imagedata r:id="rId27" o:title=""/>
          </v:shape>
          <o:OLEObject Type="Embed" ProgID="Visio.Drawing.11" ShapeID="_x0000_i1029" DrawAspect="Content" ObjectID="_1486373912" r:id="rId28"/>
        </w:objec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The edge network is the wiring necessary to connect to the core network and to do the distribution within the buildings. The way this is done is dependent on a combination of factors, such as proximity of buildings, where we already have fibre in the ground, etc. The result is pragmatic with many important buildings </w:t>
      </w:r>
      <w:proofErr w:type="spellStart"/>
      <w:r w:rsidRPr="00414D63">
        <w:rPr>
          <w:rFonts w:asciiTheme="minorHAnsi" w:eastAsiaTheme="minorHAnsi" w:hAnsiTheme="minorHAnsi" w:cstheme="minorBidi"/>
          <w:color w:val="auto"/>
        </w:rPr>
        <w:t>eg</w:t>
      </w:r>
      <w:proofErr w:type="spellEnd"/>
      <w:r w:rsidRPr="00414D63">
        <w:rPr>
          <w:rFonts w:asciiTheme="minorHAnsi" w:eastAsiaTheme="minorHAnsi" w:hAnsiTheme="minorHAnsi" w:cstheme="minorBidi"/>
          <w:color w:val="auto"/>
        </w:rPr>
        <w:t xml:space="preserve"> Old College with more than one connection to the core and some buildings </w:t>
      </w:r>
      <w:proofErr w:type="spellStart"/>
      <w:r w:rsidRPr="00414D63">
        <w:rPr>
          <w:rFonts w:asciiTheme="minorHAnsi" w:eastAsiaTheme="minorHAnsi" w:hAnsiTheme="minorHAnsi" w:cstheme="minorBidi"/>
          <w:color w:val="auto"/>
        </w:rPr>
        <w:t>eg</w:t>
      </w:r>
      <w:proofErr w:type="spellEnd"/>
      <w:r w:rsidRPr="00414D63">
        <w:rPr>
          <w:rFonts w:asciiTheme="minorHAnsi" w:eastAsiaTheme="minorHAnsi" w:hAnsiTheme="minorHAnsi" w:cstheme="minorBidi"/>
          <w:color w:val="auto"/>
        </w:rPr>
        <w:t xml:space="preserve"> School of Divinity fed from others, in this case Old College. In general it is expected that failure of connections or edge equipment in a building will result in the loss of service to the building concerned and any other buildings that may be daisy chained from it. </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With relatively recent changes in the way the University operates, both Little France and the Western General Hospital have grown in importance. Neither of these campuses have dual fibre path connections to the core network but it would appear sensible that this work is included in the roadmap so that they are not vulnerable to loss of service as a result of loss of a connection.</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The wireless network is delivered as a part of the edge. The wireless access points are connected to the wired network through standard network ports. They are centrally managed and deliver the </w:t>
      </w:r>
      <w:proofErr w:type="spellStart"/>
      <w:r w:rsidRPr="00414D63">
        <w:rPr>
          <w:rFonts w:asciiTheme="minorHAnsi" w:eastAsiaTheme="minorHAnsi" w:hAnsiTheme="minorHAnsi" w:cstheme="minorBidi"/>
          <w:color w:val="auto"/>
        </w:rPr>
        <w:t>eduroam</w:t>
      </w:r>
      <w:proofErr w:type="spellEnd"/>
      <w:r w:rsidRPr="00414D63">
        <w:rPr>
          <w:rFonts w:asciiTheme="minorHAnsi" w:eastAsiaTheme="minorHAnsi" w:hAnsiTheme="minorHAnsi" w:cstheme="minorBidi"/>
          <w:color w:val="auto"/>
        </w:rPr>
        <w:t xml:space="preserve"> service as a single network identity. It is the expectation that we will have near 100% wireless coverage throughout the estate. Currently it is around 80%. </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lastRenderedPageBreak/>
        <w:t>Traditionally network and telecommunications may have been seen as two separate domains, however with the advent of digital telephony the two have merged into a single domain with telephony delivered using the same network as data, analogue private branch telephone exchanges being replaced by server technology and specialist software. We are part way through the transition from analogue to digital telephony and have a significant challenge to accelerate the changeover before the analogue service becomes unsupportable.</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The final aspect of the network and telecommunications domain is the security layer. We have a number of services within the layer – authentication and authorisation, virus and malware scanning, firewalls and external threat or penetration testing. This is an area where the University’s openness is in direct conflict with operating to the highest security levels. It is quite correct and necessary that students and staff should bring their own devices onto the University network so that the concept of a hard perimeter is inappropriate and unachievable. The consequence of this is that most spending to date in this area is on services and user education rather than technology. As a consequence there has been relatively little demand for </w:t>
      </w:r>
      <w:proofErr w:type="gramStart"/>
      <w:r w:rsidRPr="00414D63">
        <w:rPr>
          <w:rFonts w:asciiTheme="minorHAnsi" w:eastAsiaTheme="minorHAnsi" w:hAnsiTheme="minorHAnsi" w:cstheme="minorBidi"/>
          <w:color w:val="auto"/>
        </w:rPr>
        <w:t>capital spend</w:t>
      </w:r>
      <w:proofErr w:type="gramEnd"/>
      <w:r w:rsidRPr="00414D63">
        <w:rPr>
          <w:rFonts w:asciiTheme="minorHAnsi" w:eastAsiaTheme="minorHAnsi" w:hAnsiTheme="minorHAnsi" w:cstheme="minorBidi"/>
          <w:color w:val="auto"/>
        </w:rPr>
        <w:t xml:space="preserve"> beyond firewalls.</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The network has been underinvested over the years so there is a significant technical deficit coming mainly through not replacing edge network equipment and not reflecting changes both in the estate and in the use of the network.</w:t>
      </w:r>
    </w:p>
    <w:p w:rsidR="00B1513C" w:rsidRPr="00414D63" w:rsidRDefault="00B1513C" w:rsidP="00B1513C">
      <w:pPr>
        <w:keepNext/>
        <w:keepLines/>
        <w:numPr>
          <w:ilvl w:val="0"/>
          <w:numId w:val="13"/>
        </w:numPr>
        <w:tabs>
          <w:tab w:val="clear" w:pos="720"/>
        </w:tabs>
        <w:suppressAutoHyphens w:val="0"/>
        <w:spacing w:before="200" w:after="0"/>
        <w:ind w:left="0" w:firstLine="0"/>
        <w:outlineLvl w:val="2"/>
        <w:rPr>
          <w:rFonts w:asciiTheme="majorHAnsi" w:eastAsiaTheme="majorEastAsia" w:hAnsiTheme="majorHAnsi" w:cstheme="majorBidi"/>
          <w:b/>
          <w:bCs/>
          <w:color w:val="4F81BD" w:themeColor="accent1"/>
        </w:rPr>
      </w:pPr>
      <w:r w:rsidRPr="00414D63">
        <w:rPr>
          <w:rFonts w:asciiTheme="majorHAnsi" w:eastAsiaTheme="majorEastAsia" w:hAnsiTheme="majorHAnsi" w:cstheme="majorBidi"/>
          <w:b/>
          <w:bCs/>
          <w:color w:val="4F81BD" w:themeColor="accent1"/>
        </w:rPr>
        <w:t>Data Centres</w:t>
      </w:r>
    </w:p>
    <w:p w:rsidR="00B1513C" w:rsidRPr="00414D63" w:rsidRDefault="00B1513C" w:rsidP="00B1513C">
      <w:pPr>
        <w:tabs>
          <w:tab w:val="clear" w:pos="720"/>
        </w:tabs>
        <w:suppressAutoHyphens w:val="0"/>
        <w:rPr>
          <w:rFonts w:asciiTheme="minorHAnsi" w:eastAsiaTheme="minorHAnsi" w:hAnsiTheme="minorHAnsi" w:cstheme="minorBidi"/>
          <w:color w:val="auto"/>
        </w:rPr>
      </w:pPr>
      <w:r w:rsidRPr="00414D63">
        <w:rPr>
          <w:rFonts w:asciiTheme="minorHAnsi" w:eastAsiaTheme="minorHAnsi" w:hAnsiTheme="minorHAnsi" w:cstheme="minorBidi"/>
          <w:color w:val="auto"/>
        </w:rPr>
        <w:t xml:space="preserve">We have 3 data centres, the Advanced Computing Facility at Easter Bush, in the James Clerk Maxwell Building at Kings Buildings and in Appleton Tower in the Central Area. This gives a good geographical spread with sufficient distance between centres for disaster recovery purposes. All three centres are modern, with </w:t>
      </w:r>
      <w:proofErr w:type="spellStart"/>
      <w:r w:rsidRPr="00414D63">
        <w:rPr>
          <w:rFonts w:asciiTheme="minorHAnsi" w:eastAsiaTheme="minorHAnsi" w:hAnsiTheme="minorHAnsi" w:cstheme="minorBidi"/>
          <w:color w:val="auto"/>
        </w:rPr>
        <w:t>well balanced</w:t>
      </w:r>
      <w:proofErr w:type="spellEnd"/>
      <w:r w:rsidRPr="00414D63">
        <w:rPr>
          <w:rFonts w:asciiTheme="minorHAnsi" w:eastAsiaTheme="minorHAnsi" w:hAnsiTheme="minorHAnsi" w:cstheme="minorBidi"/>
          <w:color w:val="auto"/>
        </w:rPr>
        <w:t xml:space="preserve"> power, cooling and space and good efficiency. The ACF was refurbished specifically to house national services and has been mainly funded from external grants. There is no expectation of any significant further capital spend on these facilities within the next 5 years unless there is a need for a new national research infrastructure at the ACF which should bring its own funding.</w:t>
      </w:r>
    </w:p>
    <w:p w:rsidR="00B1513C" w:rsidRDefault="00B1513C" w:rsidP="00B1513C">
      <w:pPr>
        <w:pStyle w:val="Textbody"/>
        <w:rPr>
          <w:color w:val="FF0000"/>
        </w:rPr>
      </w:pPr>
      <w:r w:rsidRPr="00414D63">
        <w:rPr>
          <w:rFonts w:asciiTheme="minorHAnsi" w:eastAsiaTheme="minorHAnsi" w:hAnsiTheme="minorHAnsi" w:cstheme="minorBidi"/>
          <w:color w:val="auto"/>
        </w:rPr>
        <w:t xml:space="preserve">The difference in funding and management of the ACF to the other two sites has limited its usefulness to the University, </w:t>
      </w:r>
      <w:proofErr w:type="spellStart"/>
      <w:r w:rsidRPr="00414D63">
        <w:rPr>
          <w:rFonts w:asciiTheme="minorHAnsi" w:eastAsiaTheme="minorHAnsi" w:hAnsiTheme="minorHAnsi" w:cstheme="minorBidi"/>
          <w:color w:val="auto"/>
        </w:rPr>
        <w:t>eg</w:t>
      </w:r>
      <w:proofErr w:type="spellEnd"/>
      <w:r w:rsidRPr="00414D63">
        <w:rPr>
          <w:rFonts w:asciiTheme="minorHAnsi" w:eastAsiaTheme="minorHAnsi" w:hAnsiTheme="minorHAnsi" w:cstheme="minorBidi"/>
          <w:color w:val="auto"/>
        </w:rPr>
        <w:t xml:space="preserve"> all power costs are recovered at ACF, whereas they are not at JCMB/AT, making the ACF less attractive as a place to host non-national </w:t>
      </w:r>
      <w:proofErr w:type="spellStart"/>
      <w:r w:rsidRPr="00414D63">
        <w:rPr>
          <w:rFonts w:asciiTheme="minorHAnsi" w:eastAsiaTheme="minorHAnsi" w:hAnsiTheme="minorHAnsi" w:cstheme="minorBidi"/>
          <w:color w:val="auto"/>
        </w:rPr>
        <w:t>ie</w:t>
      </w:r>
      <w:proofErr w:type="spellEnd"/>
      <w:r w:rsidRPr="00414D63">
        <w:rPr>
          <w:rFonts w:asciiTheme="minorHAnsi" w:eastAsiaTheme="minorHAnsi" w:hAnsiTheme="minorHAnsi" w:cstheme="minorBidi"/>
          <w:color w:val="auto"/>
        </w:rPr>
        <w:t xml:space="preserve"> university equipment.</w:t>
      </w:r>
    </w:p>
    <w:p w:rsidR="00F41C2D" w:rsidRDefault="00F41C2D">
      <w:pPr>
        <w:tabs>
          <w:tab w:val="clear" w:pos="720"/>
        </w:tabs>
        <w:suppressAutoHyphens w:val="0"/>
      </w:pPr>
      <w:r>
        <w:br w:type="page"/>
      </w:r>
    </w:p>
    <w:p w:rsidR="000E4D02" w:rsidRDefault="000E4D02" w:rsidP="000E4D02">
      <w:pPr>
        <w:pStyle w:val="Heading2"/>
        <w:numPr>
          <w:ilvl w:val="1"/>
          <w:numId w:val="2"/>
        </w:numPr>
      </w:pPr>
      <w:r>
        <w:lastRenderedPageBreak/>
        <w:t>Appendix F – Replacement Cycles</w:t>
      </w:r>
    </w:p>
    <w:p w:rsidR="000E4D02" w:rsidRPr="000E4D02" w:rsidRDefault="000E4D02" w:rsidP="000E4D02">
      <w:pPr>
        <w:pStyle w:val="ListParagraph"/>
        <w:numPr>
          <w:ilvl w:val="0"/>
          <w:numId w:val="2"/>
        </w:numPr>
        <w:tabs>
          <w:tab w:val="clear" w:pos="720"/>
        </w:tabs>
        <w:suppressAutoHyphens w:val="0"/>
        <w:rPr>
          <w:rFonts w:asciiTheme="minorHAnsi" w:eastAsiaTheme="minorHAnsi" w:hAnsiTheme="minorHAnsi" w:cstheme="minorBidi"/>
          <w:color w:val="auto"/>
        </w:rPr>
      </w:pPr>
      <w:r>
        <w:t>The average standard refresh cycle for infrastructure components is as follows: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29"/>
        <w:gridCol w:w="4335"/>
      </w:tblGrid>
      <w:tr w:rsidR="000E4D02" w:rsidRPr="000E4D02" w:rsidTr="000E4D02">
        <w:trPr>
          <w:trHeight w:val="502"/>
        </w:trPr>
        <w:tc>
          <w:tcPr>
            <w:tcW w:w="4329" w:type="dxa"/>
            <w:tcBorders>
              <w:top w:val="single" w:sz="1" w:space="0" w:color="000000"/>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b/>
                <w:bCs/>
                <w:color w:val="auto"/>
              </w:rPr>
              <w:t>Infrastructure Area</w:t>
            </w:r>
          </w:p>
        </w:tc>
        <w:tc>
          <w:tcPr>
            <w:tcW w:w="4335" w:type="dxa"/>
            <w:tcBorders>
              <w:top w:val="single" w:sz="1" w:space="0" w:color="000000"/>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 </w:t>
            </w:r>
            <w:r w:rsidRPr="000E4D02">
              <w:rPr>
                <w:rFonts w:asciiTheme="minorHAnsi" w:eastAsiaTheme="minorHAnsi" w:hAnsiTheme="minorHAnsi" w:cstheme="minorBidi"/>
                <w:b/>
                <w:bCs/>
                <w:color w:val="auto"/>
              </w:rPr>
              <w:t>Refresh Cycle</w:t>
            </w:r>
          </w:p>
        </w:tc>
      </w:tr>
      <w:tr w:rsidR="000E4D02" w:rsidRPr="000E4D02" w:rsidTr="000E4D02">
        <w:trPr>
          <w:trHeight w:val="512"/>
        </w:trPr>
        <w:tc>
          <w:tcPr>
            <w:tcW w:w="4329" w:type="dxa"/>
            <w:tcBorders>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Data-centre</w:t>
            </w:r>
          </w:p>
        </w:tc>
        <w:tc>
          <w:tcPr>
            <w:tcW w:w="4335" w:type="dxa"/>
            <w:tcBorders>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 20 years</w:t>
            </w:r>
          </w:p>
        </w:tc>
      </w:tr>
      <w:tr w:rsidR="000E4D02" w:rsidRPr="000E4D02" w:rsidTr="000E4D02">
        <w:trPr>
          <w:trHeight w:val="1023"/>
        </w:trPr>
        <w:tc>
          <w:tcPr>
            <w:tcW w:w="4329" w:type="dxa"/>
            <w:tcBorders>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Core network</w:t>
            </w:r>
          </w:p>
        </w:tc>
        <w:tc>
          <w:tcPr>
            <w:tcW w:w="4335" w:type="dxa"/>
            <w:tcBorders>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Core network routers = 7 years </w:t>
            </w:r>
          </w:p>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Inter-campus fibre links = 20 years (*1)</w:t>
            </w:r>
          </w:p>
        </w:tc>
      </w:tr>
      <w:tr w:rsidR="000E4D02" w:rsidRPr="000E4D02" w:rsidTr="000E4D02">
        <w:trPr>
          <w:trHeight w:val="1013"/>
        </w:trPr>
        <w:tc>
          <w:tcPr>
            <w:tcW w:w="4329" w:type="dxa"/>
            <w:tcBorders>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Edge network </w:t>
            </w:r>
          </w:p>
        </w:tc>
        <w:tc>
          <w:tcPr>
            <w:tcW w:w="4335" w:type="dxa"/>
            <w:tcBorders>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Edge switches = 7 years </w:t>
            </w:r>
          </w:p>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Wireless Access Points = 7 years</w:t>
            </w:r>
          </w:p>
        </w:tc>
      </w:tr>
      <w:tr w:rsidR="000E4D02" w:rsidRPr="000E4D02" w:rsidTr="000E4D02">
        <w:trPr>
          <w:trHeight w:val="1023"/>
        </w:trPr>
        <w:tc>
          <w:tcPr>
            <w:tcW w:w="4329" w:type="dxa"/>
            <w:tcBorders>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Telephones</w:t>
            </w:r>
          </w:p>
        </w:tc>
        <w:tc>
          <w:tcPr>
            <w:tcW w:w="4335" w:type="dxa"/>
            <w:tcBorders>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Core VOIP exchange = expected 10 years</w:t>
            </w:r>
          </w:p>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VOIP phone handset  = 15 years</w:t>
            </w:r>
          </w:p>
        </w:tc>
      </w:tr>
      <w:tr w:rsidR="000E4D02" w:rsidRPr="000E4D02" w:rsidTr="000E4D02">
        <w:trPr>
          <w:trHeight w:val="512"/>
        </w:trPr>
        <w:tc>
          <w:tcPr>
            <w:tcW w:w="4329" w:type="dxa"/>
            <w:tcBorders>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Servers</w:t>
            </w:r>
          </w:p>
        </w:tc>
        <w:tc>
          <w:tcPr>
            <w:tcW w:w="4335" w:type="dxa"/>
            <w:tcBorders>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 5 years</w:t>
            </w:r>
          </w:p>
        </w:tc>
      </w:tr>
      <w:tr w:rsidR="000E4D02" w:rsidRPr="000E4D02" w:rsidTr="000E4D02">
        <w:trPr>
          <w:trHeight w:val="512"/>
        </w:trPr>
        <w:tc>
          <w:tcPr>
            <w:tcW w:w="4329" w:type="dxa"/>
            <w:tcBorders>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Storage</w:t>
            </w:r>
          </w:p>
        </w:tc>
        <w:tc>
          <w:tcPr>
            <w:tcW w:w="4335" w:type="dxa"/>
            <w:tcBorders>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 5 years</w:t>
            </w:r>
          </w:p>
        </w:tc>
      </w:tr>
      <w:tr w:rsidR="000E4D02" w:rsidRPr="000E4D02" w:rsidTr="000E4D02">
        <w:trPr>
          <w:trHeight w:val="512"/>
        </w:trPr>
        <w:tc>
          <w:tcPr>
            <w:tcW w:w="4329" w:type="dxa"/>
            <w:tcBorders>
              <w:left w:val="single" w:sz="1" w:space="0" w:color="000000"/>
              <w:bottom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Open Access Lab desktops</w:t>
            </w:r>
          </w:p>
        </w:tc>
        <w:tc>
          <w:tcPr>
            <w:tcW w:w="4335" w:type="dxa"/>
            <w:tcBorders>
              <w:left w:val="single" w:sz="1" w:space="0" w:color="000000"/>
              <w:bottom w:val="single" w:sz="1" w:space="0" w:color="000000"/>
              <w:right w:val="single" w:sz="1" w:space="0" w:color="000000"/>
            </w:tcBorders>
            <w:shd w:val="clear" w:color="auto" w:fill="auto"/>
          </w:tcPr>
          <w:p w:rsidR="000E4D02" w:rsidRPr="000E4D02" w:rsidRDefault="000E4D02" w:rsidP="00B7559A">
            <w:pPr>
              <w:tabs>
                <w:tab w:val="clear" w:pos="720"/>
              </w:tabs>
              <w:suppressAutoHyphens w:val="0"/>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 5 years</w:t>
            </w:r>
          </w:p>
        </w:tc>
      </w:tr>
    </w:tbl>
    <w:p w:rsidR="000E4D02" w:rsidRPr="000E4D02" w:rsidRDefault="000E4D02" w:rsidP="000E4D02">
      <w:pPr>
        <w:pStyle w:val="ListParagraph"/>
        <w:numPr>
          <w:ilvl w:val="0"/>
          <w:numId w:val="2"/>
        </w:numPr>
        <w:tabs>
          <w:tab w:val="clear" w:pos="720"/>
        </w:tabs>
        <w:suppressAutoHyphens w:val="0"/>
        <w:rPr>
          <w:rFonts w:asciiTheme="minorHAnsi" w:eastAsiaTheme="minorHAnsi" w:hAnsiTheme="minorHAnsi" w:cstheme="minorBidi"/>
          <w:color w:val="auto"/>
        </w:rPr>
      </w:pPr>
    </w:p>
    <w:p w:rsidR="000E4D02" w:rsidRPr="000E4D02" w:rsidRDefault="000E4D02" w:rsidP="000E4D02">
      <w:pPr>
        <w:pStyle w:val="ListParagraph"/>
        <w:tabs>
          <w:tab w:val="clear" w:pos="720"/>
        </w:tabs>
        <w:suppressAutoHyphens w:val="0"/>
        <w:ind w:left="0"/>
        <w:rPr>
          <w:rFonts w:asciiTheme="minorHAnsi" w:eastAsiaTheme="minorHAnsi" w:hAnsiTheme="minorHAnsi" w:cstheme="minorBidi"/>
          <w:color w:val="auto"/>
        </w:rPr>
      </w:pPr>
      <w:r>
        <w:rPr>
          <w:rFonts w:asciiTheme="minorHAnsi" w:eastAsiaTheme="minorHAnsi" w:hAnsiTheme="minorHAnsi" w:cstheme="minorBidi"/>
          <w:color w:val="auto"/>
        </w:rPr>
        <w:t xml:space="preserve">*1 </w:t>
      </w:r>
      <w:proofErr w:type="gramStart"/>
      <w:r w:rsidRPr="000E4D02">
        <w:rPr>
          <w:rFonts w:asciiTheme="minorHAnsi" w:eastAsiaTheme="minorHAnsi" w:hAnsiTheme="minorHAnsi" w:cstheme="minorBidi"/>
          <w:color w:val="auto"/>
        </w:rPr>
        <w:t>The</w:t>
      </w:r>
      <w:proofErr w:type="gramEnd"/>
      <w:r w:rsidRPr="000E4D02">
        <w:rPr>
          <w:rFonts w:asciiTheme="minorHAnsi" w:eastAsiaTheme="minorHAnsi" w:hAnsiTheme="minorHAnsi" w:cstheme="minorBidi"/>
          <w:color w:val="auto"/>
        </w:rPr>
        <w:t xml:space="preserve"> recommended refresh cycle for inter-campus fibre cabling is currently estimated at 20 years. However, the oldest fibre cabling installed by the University is over 20 years old and shows no sign of degradation. Fibre manufacturer testing suggests lifetime may well be 30+ years. We have taken the view that this is a truly unknown quantity – fibre optic cable simply hasn’t been around for long enough. It is our opinion that the best strategy is to wait and see, once there is evidence of fibres failing either from our own infrastructure, but more likely from other earlier adopters we should plan for replacement.</w:t>
      </w:r>
    </w:p>
    <w:p w:rsidR="000E4D02" w:rsidRPr="000E4D02" w:rsidRDefault="000E4D02" w:rsidP="000E4D02">
      <w:pPr>
        <w:tabs>
          <w:tab w:val="clear" w:pos="720"/>
        </w:tabs>
        <w:suppressAutoHyphens w:val="0"/>
        <w:jc w:val="both"/>
        <w:rPr>
          <w:rFonts w:asciiTheme="minorHAnsi" w:eastAsiaTheme="minorHAnsi" w:hAnsiTheme="minorHAnsi" w:cstheme="minorBidi"/>
          <w:color w:val="auto"/>
        </w:rPr>
      </w:pPr>
      <w:r w:rsidRPr="000E4D02">
        <w:rPr>
          <w:rFonts w:asciiTheme="minorHAnsi" w:eastAsiaTheme="minorHAnsi" w:hAnsiTheme="minorHAnsi" w:cstheme="minorBidi"/>
          <w:color w:val="auto"/>
        </w:rPr>
        <w:t>Where supplier maintenance support for an item extends beyond the expected refresh cycle and this poses no issue for infrastructure manageability, we may choose to extend its lifetime to reduce costs.</w:t>
      </w:r>
    </w:p>
    <w:p w:rsidR="000E4D02" w:rsidRPr="000E4D02" w:rsidRDefault="000E4D02" w:rsidP="000E4D02">
      <w:pPr>
        <w:tabs>
          <w:tab w:val="clear" w:pos="720"/>
        </w:tabs>
        <w:suppressAutoHyphens w:val="0"/>
        <w:jc w:val="both"/>
        <w:rPr>
          <w:rFonts w:asciiTheme="minorHAnsi" w:eastAsiaTheme="minorHAnsi" w:hAnsiTheme="minorHAnsi" w:cstheme="minorBidi"/>
          <w:color w:val="auto"/>
        </w:rPr>
      </w:pPr>
      <w:r w:rsidRPr="000E4D02">
        <w:rPr>
          <w:rFonts w:asciiTheme="minorHAnsi" w:eastAsiaTheme="minorHAnsi" w:hAnsiTheme="minorHAnsi" w:cstheme="minorBidi"/>
          <w:color w:val="auto"/>
        </w:rPr>
        <w:t xml:space="preserve">In certain areas, investment has not kept pace with the required refresh cycle, and the University has acquired a current </w:t>
      </w:r>
      <w:r w:rsidRPr="000E4D02">
        <w:rPr>
          <w:rFonts w:asciiTheme="minorHAnsi" w:eastAsiaTheme="minorHAnsi" w:hAnsiTheme="minorHAnsi" w:cstheme="minorBidi"/>
          <w:i/>
          <w:iCs/>
          <w:color w:val="auto"/>
        </w:rPr>
        <w:t xml:space="preserve">technical debt.  </w:t>
      </w:r>
      <w:r w:rsidRPr="000E4D02">
        <w:rPr>
          <w:rFonts w:asciiTheme="minorHAnsi" w:eastAsiaTheme="minorHAnsi" w:hAnsiTheme="minorHAnsi" w:cstheme="minorBidi"/>
          <w:color w:val="auto"/>
        </w:rPr>
        <w:t>This has occurred mainly in the edge network where t</w:t>
      </w:r>
      <w:r w:rsidR="00AF178D">
        <w:rPr>
          <w:rFonts w:asciiTheme="minorHAnsi" w:eastAsiaTheme="minorHAnsi" w:hAnsiTheme="minorHAnsi" w:cstheme="minorBidi"/>
          <w:color w:val="auto"/>
        </w:rPr>
        <w:t xml:space="preserve">he cost of </w:t>
      </w:r>
      <w:proofErr w:type="spellStart"/>
      <w:r w:rsidR="00AF178D">
        <w:rPr>
          <w:rFonts w:asciiTheme="minorHAnsi" w:eastAsiaTheme="minorHAnsi" w:hAnsiTheme="minorHAnsi" w:cstheme="minorBidi"/>
          <w:color w:val="auto"/>
        </w:rPr>
        <w:t>catchup</w:t>
      </w:r>
      <w:proofErr w:type="spellEnd"/>
      <w:r w:rsidR="00AF178D">
        <w:rPr>
          <w:rFonts w:asciiTheme="minorHAnsi" w:eastAsiaTheme="minorHAnsi" w:hAnsiTheme="minorHAnsi" w:cstheme="minorBidi"/>
          <w:color w:val="auto"/>
        </w:rPr>
        <w:t xml:space="preserve"> is around £2,</w:t>
      </w:r>
      <w:r w:rsidRPr="000E4D02">
        <w:rPr>
          <w:rFonts w:asciiTheme="minorHAnsi" w:eastAsiaTheme="minorHAnsi" w:hAnsiTheme="minorHAnsi" w:cstheme="minorBidi"/>
          <w:color w:val="auto"/>
        </w:rPr>
        <w:t xml:space="preserve">5m. </w:t>
      </w:r>
    </w:p>
    <w:p w:rsidR="000E4D02" w:rsidRPr="000E4D02" w:rsidRDefault="000E4D02" w:rsidP="000E4D02">
      <w:pPr>
        <w:tabs>
          <w:tab w:val="clear" w:pos="720"/>
        </w:tabs>
        <w:suppressAutoHyphens w:val="0"/>
        <w:jc w:val="both"/>
        <w:rPr>
          <w:rFonts w:asciiTheme="minorHAnsi" w:eastAsiaTheme="minorHAnsi" w:hAnsiTheme="minorHAnsi" w:cstheme="minorBidi"/>
          <w:color w:val="auto"/>
        </w:rPr>
      </w:pPr>
      <w:r w:rsidRPr="000E4D02">
        <w:rPr>
          <w:rFonts w:asciiTheme="minorHAnsi" w:eastAsiaTheme="minorHAnsi" w:hAnsiTheme="minorHAnsi" w:cstheme="minorBidi"/>
          <w:color w:val="auto"/>
        </w:rPr>
        <w:t>Additionally, the investment in the wireless network has been focused on increasing the wireless coverage in campus buildings and in installing wireless in the new-build estate.  The investment in rolling refresh has not kept pace, and increased investment will be required leading up to 2018.</w:t>
      </w:r>
    </w:p>
    <w:p w:rsidR="00B23B32" w:rsidRDefault="00B23B32" w:rsidP="00B23B32">
      <w:pPr>
        <w:pStyle w:val="Heading2"/>
        <w:numPr>
          <w:ilvl w:val="1"/>
          <w:numId w:val="2"/>
        </w:numPr>
      </w:pPr>
      <w:r>
        <w:lastRenderedPageBreak/>
        <w:t>Appendix G – Performance Metrics</w:t>
      </w:r>
    </w:p>
    <w:p w:rsidR="00B23B32" w:rsidRPr="00B23B32" w:rsidRDefault="00B23B32" w:rsidP="00B23B32">
      <w:pPr>
        <w:pStyle w:val="Textbody"/>
      </w:pPr>
    </w:p>
    <w:tbl>
      <w:tblPr>
        <w:tblW w:w="8922" w:type="dxa"/>
        <w:tblInd w:w="64" w:type="dxa"/>
        <w:tblLayout w:type="fixed"/>
        <w:tblCellMar>
          <w:top w:w="55" w:type="dxa"/>
          <w:left w:w="55" w:type="dxa"/>
          <w:bottom w:w="55" w:type="dxa"/>
          <w:right w:w="55" w:type="dxa"/>
        </w:tblCellMar>
        <w:tblLook w:val="0620" w:firstRow="1" w:lastRow="0" w:firstColumn="0" w:lastColumn="0" w:noHBand="1" w:noVBand="1"/>
      </w:tblPr>
      <w:tblGrid>
        <w:gridCol w:w="1976"/>
        <w:gridCol w:w="3260"/>
        <w:gridCol w:w="3686"/>
      </w:tblGrid>
      <w:tr w:rsidR="0039111C" w:rsidRPr="002973BA" w:rsidTr="00CE369E">
        <w:trPr>
          <w:tblHeader/>
        </w:trPr>
        <w:tc>
          <w:tcPr>
            <w:tcW w:w="1976" w:type="dxa"/>
            <w:tcBorders>
              <w:top w:val="single" w:sz="2" w:space="0" w:color="000000"/>
              <w:left w:val="single" w:sz="1" w:space="0" w:color="000000"/>
              <w:bottom w:val="single" w:sz="2" w:space="0" w:color="000000"/>
              <w:right w:val="single" w:sz="2" w:space="0" w:color="000000"/>
            </w:tcBorders>
            <w:shd w:val="clear" w:color="auto" w:fill="auto"/>
          </w:tcPr>
          <w:p w:rsidR="0039111C" w:rsidRPr="002973BA" w:rsidRDefault="0039111C" w:rsidP="00B7559A">
            <w:r w:rsidRPr="002973BA">
              <w:rPr>
                <w:b/>
                <w:bCs/>
              </w:rPr>
              <w:t>Infrastructure Area</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t xml:space="preserve"> </w:t>
            </w:r>
            <w:r w:rsidRPr="002973BA">
              <w:rPr>
                <w:b/>
                <w:bCs/>
              </w:rPr>
              <w:t>Performance Metrics</w:t>
            </w:r>
          </w:p>
        </w:tc>
        <w:tc>
          <w:tcPr>
            <w:tcW w:w="3686" w:type="dxa"/>
            <w:tcBorders>
              <w:top w:val="single" w:sz="2" w:space="0" w:color="000000"/>
              <w:left w:val="single" w:sz="2" w:space="0" w:color="000000"/>
              <w:bottom w:val="single" w:sz="2" w:space="0" w:color="000000"/>
              <w:right w:val="single" w:sz="1" w:space="0" w:color="000000"/>
            </w:tcBorders>
          </w:tcPr>
          <w:p w:rsidR="0039111C" w:rsidRPr="009D5486" w:rsidRDefault="0039111C" w:rsidP="00B7559A">
            <w:pPr>
              <w:rPr>
                <w:b/>
              </w:rPr>
            </w:pPr>
            <w:r>
              <w:rPr>
                <w:b/>
              </w:rPr>
              <w:t>Purpose</w:t>
            </w:r>
          </w:p>
        </w:tc>
      </w:tr>
      <w:tr w:rsidR="0039111C" w:rsidRPr="002973BA" w:rsidTr="00CE369E">
        <w:tc>
          <w:tcPr>
            <w:tcW w:w="1976" w:type="dxa"/>
            <w:tcBorders>
              <w:top w:val="single" w:sz="2" w:space="0" w:color="000000"/>
              <w:left w:val="single" w:sz="1" w:space="0" w:color="000000"/>
              <w:bottom w:val="single" w:sz="2" w:space="0" w:color="000000"/>
              <w:right w:val="single" w:sz="2" w:space="0" w:color="000000"/>
            </w:tcBorders>
            <w:shd w:val="clear" w:color="auto" w:fill="auto"/>
          </w:tcPr>
          <w:p w:rsidR="0039111C" w:rsidRPr="002973BA" w:rsidRDefault="0039111C" w:rsidP="00B7559A">
            <w:r w:rsidRPr="002973BA">
              <w:t>All live service infrastructure</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Default="0039111C" w:rsidP="00B7559A">
            <w:r w:rsidRPr="002973BA">
              <w:t xml:space="preserve">All service infrastructure used for live services must be under maintenance contract. </w:t>
            </w:r>
          </w:p>
          <w:p w:rsidR="0039111C" w:rsidRPr="002973BA" w:rsidRDefault="0039111C" w:rsidP="00B7559A">
            <w:r w:rsidRPr="005856CB">
              <w:t>95%</w:t>
            </w:r>
            <w:r w:rsidRPr="002973BA">
              <w:t xml:space="preserve"> </w:t>
            </w:r>
            <w:r>
              <w:t xml:space="preserve">of IT </w:t>
            </w:r>
            <w:r w:rsidRPr="002973BA">
              <w:t>infrastructure in replacement cycle</w:t>
            </w:r>
          </w:p>
        </w:tc>
        <w:tc>
          <w:tcPr>
            <w:tcW w:w="3686" w:type="dxa"/>
            <w:tcBorders>
              <w:top w:val="single" w:sz="2" w:space="0" w:color="000000"/>
              <w:left w:val="single" w:sz="2" w:space="0" w:color="000000"/>
              <w:bottom w:val="single" w:sz="2" w:space="0" w:color="000000"/>
              <w:right w:val="single" w:sz="1" w:space="0" w:color="000000"/>
            </w:tcBorders>
          </w:tcPr>
          <w:p w:rsidR="0039111C" w:rsidRPr="002973BA" w:rsidRDefault="0039111C" w:rsidP="00F37D96">
            <w:r>
              <w:t>These metrics ensure that the infrastructure can underpin the service availabi</w:t>
            </w:r>
            <w:r w:rsidR="00F37D96">
              <w:t xml:space="preserve">lity targets, and will deliver </w:t>
            </w:r>
            <w:r>
              <w:t>the appropriate levels of capacity and performance.</w:t>
            </w:r>
          </w:p>
        </w:tc>
      </w:tr>
      <w:tr w:rsidR="0039111C" w:rsidRPr="002973BA" w:rsidTr="00CE369E">
        <w:tc>
          <w:tcPr>
            <w:tcW w:w="1976" w:type="dxa"/>
            <w:vMerge w:val="restart"/>
            <w:tcBorders>
              <w:top w:val="single" w:sz="2" w:space="0" w:color="000000"/>
              <w:left w:val="single" w:sz="1" w:space="0" w:color="000000"/>
              <w:bottom w:val="single" w:sz="2" w:space="0" w:color="000000"/>
              <w:right w:val="single" w:sz="2" w:space="0" w:color="000000"/>
            </w:tcBorders>
            <w:shd w:val="clear" w:color="auto" w:fill="auto"/>
          </w:tcPr>
          <w:p w:rsidR="0039111C" w:rsidRPr="002973BA" w:rsidRDefault="0039111C" w:rsidP="00B7559A">
            <w:r w:rsidRPr="002973BA">
              <w:t>Data-centre</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t xml:space="preserve">PUE (&lt; 1.5) </w:t>
            </w:r>
          </w:p>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B7559A">
            <w:r>
              <w:t xml:space="preserve">This indicator is a measure of the effectiveness of energy use in the data centre. It is </w:t>
            </w:r>
            <w:proofErr w:type="gramStart"/>
            <w:r>
              <w:t>a  quick</w:t>
            </w:r>
            <w:proofErr w:type="gramEnd"/>
            <w:r>
              <w:t xml:space="preserve"> way of understanding that power use is appropriate for the size of the infrastructure being used. </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Pr="002973BA"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t>Availability &gt; 99.99% when measured over 5 years</w:t>
            </w:r>
          </w:p>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39111C">
            <w:r>
              <w:t xml:space="preserve">The data-centres in which the core infrastructure is sited must achieve these levels of availability to deliver our overall service availability targets of less than 9 </w:t>
            </w:r>
            <w:proofErr w:type="spellStart"/>
            <w:r>
              <w:t>hrs</w:t>
            </w:r>
            <w:proofErr w:type="spellEnd"/>
            <w:r>
              <w:t xml:space="preserve"> down time pa as required by the business.</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Pr="002973BA"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t>20</w:t>
            </w:r>
            <w:r w:rsidRPr="002973BA">
              <w:t>% headroom in physical, power and cooling capacity.</w:t>
            </w:r>
          </w:p>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B7559A">
            <w:r>
              <w:t>Predicting future capacity is uncertain so this is a margin that we need to retain so that once capacity reaches 80% full we have sufficient time to increase capacity or to remove redundant equipment such that we do not lose service.</w:t>
            </w:r>
          </w:p>
        </w:tc>
      </w:tr>
      <w:tr w:rsidR="0039111C" w:rsidRPr="002973BA" w:rsidTr="00CE369E">
        <w:tc>
          <w:tcPr>
            <w:tcW w:w="1976" w:type="dxa"/>
            <w:vMerge w:val="restart"/>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r>
              <w:t xml:space="preserve">Network and telecommunications : </w:t>
            </w:r>
            <w:r w:rsidRPr="002973BA">
              <w:t>Core network</w:t>
            </w:r>
          </w:p>
          <w:p w:rsidR="00CE369E" w:rsidRDefault="00CE369E" w:rsidP="00B7559A"/>
          <w:p w:rsidR="00CE369E" w:rsidRDefault="00CE369E" w:rsidP="00B7559A"/>
          <w:p w:rsidR="00CE369E" w:rsidRDefault="00CE369E" w:rsidP="00B7559A"/>
          <w:p w:rsidR="00CE369E" w:rsidRDefault="00CE369E" w:rsidP="00B7559A"/>
          <w:p w:rsidR="00CE369E" w:rsidRDefault="00CE369E" w:rsidP="00CE369E">
            <w:r>
              <w:lastRenderedPageBreak/>
              <w:t xml:space="preserve">Network and telecommunications : </w:t>
            </w:r>
            <w:r w:rsidRPr="002973BA">
              <w:t>Core network</w:t>
            </w:r>
          </w:p>
          <w:p w:rsidR="00CE369E" w:rsidRPr="002973BA" w:rsidRDefault="00CE369E" w:rsidP="00B7559A">
            <w:r>
              <w:t>(CONTINUED)</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lastRenderedPageBreak/>
              <w:t>Availability &gt; 99.95% measured over 1 year</w:t>
            </w:r>
          </w:p>
          <w:p w:rsidR="0039111C" w:rsidRPr="00C921E4" w:rsidRDefault="0039111C" w:rsidP="00B7559A"/>
        </w:tc>
        <w:tc>
          <w:tcPr>
            <w:tcW w:w="3686" w:type="dxa"/>
            <w:tcBorders>
              <w:top w:val="single" w:sz="2" w:space="0" w:color="000000"/>
              <w:left w:val="single" w:sz="2" w:space="0" w:color="000000"/>
              <w:bottom w:val="single" w:sz="2" w:space="0" w:color="000000"/>
              <w:right w:val="single" w:sz="1" w:space="0" w:color="000000"/>
            </w:tcBorders>
          </w:tcPr>
          <w:p w:rsidR="0039111C" w:rsidRPr="002973BA" w:rsidRDefault="0039111C" w:rsidP="0039111C">
            <w:r>
              <w:t>The core network is the key component which supports the institutions digital activity.  This metric underpins our overall service availability targets and ensures a good user experience.</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t>All major campuses with fully redundant connections</w:t>
            </w:r>
          </w:p>
          <w:p w:rsidR="0039111C" w:rsidRPr="002973BA" w:rsidRDefault="0039111C" w:rsidP="00B7559A"/>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B7559A">
            <w:r>
              <w:t xml:space="preserve">This metric guides the construction of campus networks to protect </w:t>
            </w:r>
            <w:r w:rsidR="00A94C3E">
              <w:t xml:space="preserve">large numbers of staff and students from being disconnected from the University network and the Internet for extended </w:t>
            </w:r>
            <w:r w:rsidR="00A94C3E">
              <w:lastRenderedPageBreak/>
              <w:t>periods of time.</w:t>
            </w:r>
          </w:p>
          <w:p w:rsidR="0039111C" w:rsidRPr="002973BA" w:rsidRDefault="0039111C" w:rsidP="00B7559A">
            <w:r>
              <w:t>In event of damage to the cabling services to the campus will cease until the cable can be repaired – internet access, access to storage, enterprise applications, telephones, etc. Repairs may take several days. We have had an example of this recently when cables were damaged by digging as part of road works and we lost service to the Western General Hospital for about 24hrs</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C921E4">
              <w:t>External JANET traffic &lt; 75% link capacity (based on short and long term congestion and traffic levels )</w:t>
            </w:r>
          </w:p>
        </w:tc>
        <w:tc>
          <w:tcPr>
            <w:tcW w:w="3686" w:type="dxa"/>
            <w:tcBorders>
              <w:top w:val="single" w:sz="2" w:space="0" w:color="000000"/>
              <w:left w:val="single" w:sz="2" w:space="0" w:color="000000"/>
              <w:bottom w:val="single" w:sz="2" w:space="0" w:color="000000"/>
              <w:right w:val="single" w:sz="1" w:space="0" w:color="000000"/>
            </w:tcBorders>
          </w:tcPr>
          <w:p w:rsidR="00A94C3E" w:rsidRDefault="00A94C3E" w:rsidP="00A94C3E">
            <w:r>
              <w:t>This aids the capacity planning of the University’s Internet connections, and guards against a poor user experience when accessing external digital services.</w:t>
            </w:r>
          </w:p>
          <w:p w:rsidR="0039111C" w:rsidRPr="002973BA" w:rsidRDefault="00A94C3E" w:rsidP="00A94C3E">
            <w:r>
              <w:t xml:space="preserve"> </w:t>
            </w:r>
            <w:r w:rsidR="0039111C">
              <w:t>Predicting future capacity is uncertain so this is a margin that we need to retain so that once capacity reaches 75% full we have sufficient time to increase capacity by ordering additional circuits.</w:t>
            </w:r>
          </w:p>
        </w:tc>
      </w:tr>
      <w:tr w:rsidR="0039111C" w:rsidRPr="002973BA" w:rsidTr="00CE369E">
        <w:tc>
          <w:tcPr>
            <w:tcW w:w="1976" w:type="dxa"/>
            <w:vMerge w:val="restart"/>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r>
              <w:t xml:space="preserve">Network and telecommunications: </w:t>
            </w:r>
            <w:r w:rsidRPr="002973BA">
              <w:t xml:space="preserve">Edge network </w:t>
            </w:r>
          </w:p>
          <w:p w:rsidR="00CE369E" w:rsidRDefault="00CE369E" w:rsidP="00B7559A"/>
          <w:p w:rsidR="00CE369E" w:rsidRDefault="00CE369E" w:rsidP="00B7559A"/>
          <w:p w:rsidR="00CE369E" w:rsidRDefault="00CE369E" w:rsidP="00B7559A"/>
          <w:p w:rsidR="00CE369E" w:rsidRDefault="00CE369E" w:rsidP="00B7559A"/>
          <w:p w:rsidR="00CE369E" w:rsidRDefault="00CE369E" w:rsidP="00B7559A"/>
          <w:p w:rsidR="00CE369E" w:rsidRDefault="00CE369E" w:rsidP="00B7559A"/>
          <w:p w:rsidR="00CE369E" w:rsidRDefault="00CE369E" w:rsidP="00B7559A"/>
          <w:p w:rsidR="00CE369E" w:rsidRDefault="00CE369E" w:rsidP="00CE369E">
            <w:r>
              <w:t xml:space="preserve">Network and </w:t>
            </w:r>
            <w:r>
              <w:lastRenderedPageBreak/>
              <w:t xml:space="preserve">telecommunications: </w:t>
            </w:r>
            <w:r w:rsidRPr="002973BA">
              <w:t xml:space="preserve">Edge network </w:t>
            </w:r>
          </w:p>
          <w:p w:rsidR="00CE369E" w:rsidRPr="002973BA" w:rsidRDefault="00CE369E" w:rsidP="00B7559A">
            <w:r>
              <w:t>(CONTINUED)</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lastRenderedPageBreak/>
              <w:t>Local edge network achieving &gt; 99.95% availability measured over 5 years</w:t>
            </w:r>
          </w:p>
          <w:p w:rsidR="0039111C" w:rsidRPr="002973BA" w:rsidRDefault="0039111C" w:rsidP="00B7559A"/>
        </w:tc>
        <w:tc>
          <w:tcPr>
            <w:tcW w:w="3686" w:type="dxa"/>
            <w:tcBorders>
              <w:top w:val="single" w:sz="2" w:space="0" w:color="000000"/>
              <w:left w:val="single" w:sz="2" w:space="0" w:color="000000"/>
              <w:bottom w:val="single" w:sz="2" w:space="0" w:color="000000"/>
              <w:right w:val="single" w:sz="1" w:space="0" w:color="000000"/>
            </w:tcBorders>
          </w:tcPr>
          <w:p w:rsidR="00A94C3E" w:rsidRDefault="00A94C3E" w:rsidP="00A94C3E">
            <w:r>
              <w:t xml:space="preserve">The edge network connects users to services and data – and this availability metric guides </w:t>
            </w:r>
            <w:proofErr w:type="gramStart"/>
            <w:r>
              <w:t>investment  to</w:t>
            </w:r>
            <w:proofErr w:type="gramEnd"/>
            <w:r>
              <w:t xml:space="preserve"> deliver a good user experience .</w:t>
            </w:r>
          </w:p>
          <w:p w:rsidR="0039111C" w:rsidRDefault="0039111C" w:rsidP="00A94C3E">
            <w:r>
              <w:t xml:space="preserve"> As the edge network is a distributed network it will only affect people directly connected to the affected equipment so the impact will be very uneven.</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Default="0039111C" w:rsidP="00B7559A">
            <w:r w:rsidRPr="00E91A3D">
              <w:t>95%</w:t>
            </w:r>
            <w:r w:rsidRPr="00C921E4">
              <w:t xml:space="preserve"> </w:t>
            </w:r>
            <w:r>
              <w:t xml:space="preserve">plus </w:t>
            </w:r>
            <w:r w:rsidRPr="00C921E4">
              <w:t>wireless</w:t>
            </w:r>
            <w:r w:rsidRPr="002973BA">
              <w:t xml:space="preserve"> coverage</w:t>
            </w:r>
            <w:r>
              <w:t xml:space="preserve"> of campus estate</w:t>
            </w:r>
          </w:p>
        </w:tc>
        <w:tc>
          <w:tcPr>
            <w:tcW w:w="3686" w:type="dxa"/>
            <w:tcBorders>
              <w:top w:val="single" w:sz="2" w:space="0" w:color="000000"/>
              <w:left w:val="single" w:sz="2" w:space="0" w:color="000000"/>
              <w:bottom w:val="single" w:sz="2" w:space="0" w:color="000000"/>
              <w:right w:val="single" w:sz="1" w:space="0" w:color="000000"/>
            </w:tcBorders>
          </w:tcPr>
          <w:p w:rsidR="00A94C3E" w:rsidRDefault="00A94C3E" w:rsidP="00B7559A">
            <w:r>
              <w:t xml:space="preserve">Connectivity from mobile devices is now considered essential for many University staff, and is </w:t>
            </w:r>
            <w:proofErr w:type="gramStart"/>
            <w:r>
              <w:t>important  to</w:t>
            </w:r>
            <w:proofErr w:type="gramEnd"/>
            <w:r>
              <w:t xml:space="preserve"> the student experience.  </w:t>
            </w:r>
          </w:p>
          <w:p w:rsidR="0039111C" w:rsidRDefault="00DB70D4" w:rsidP="00F37D96">
            <w:r>
              <w:t xml:space="preserve">Wireless coverage is currently approx. </w:t>
            </w:r>
            <w:r>
              <w:lastRenderedPageBreak/>
              <w:t xml:space="preserve">80% of the estate and this metric guides the </w:t>
            </w:r>
            <w:r w:rsidR="00F37D96">
              <w:t>expansion necessary to deliver a digitally enabled University.</w:t>
            </w:r>
          </w:p>
        </w:tc>
      </w:tr>
      <w:tr w:rsidR="0039111C" w:rsidRPr="002973BA" w:rsidTr="00CE369E">
        <w:tc>
          <w:tcPr>
            <w:tcW w:w="1976" w:type="dxa"/>
            <w:vMerge w:val="restart"/>
            <w:tcBorders>
              <w:top w:val="single" w:sz="2" w:space="0" w:color="000000"/>
              <w:left w:val="single" w:sz="1" w:space="0" w:color="000000"/>
              <w:bottom w:val="single" w:sz="2" w:space="0" w:color="000000"/>
              <w:right w:val="single" w:sz="2" w:space="0" w:color="000000"/>
            </w:tcBorders>
            <w:shd w:val="clear" w:color="auto" w:fill="auto"/>
          </w:tcPr>
          <w:p w:rsidR="0039111C" w:rsidRPr="002973BA" w:rsidRDefault="0039111C" w:rsidP="00B7559A">
            <w:r>
              <w:lastRenderedPageBreak/>
              <w:t xml:space="preserve">Network and telecommunications: </w:t>
            </w:r>
            <w:r w:rsidRPr="002973BA">
              <w:t>Telephones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t>VOIP exchanges availability &gt; 99.95% measured over 1 year</w:t>
            </w:r>
          </w:p>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F37D96">
            <w:r>
              <w:t xml:space="preserve">Telephones are expected to ‘always’ work – </w:t>
            </w:r>
            <w:r w:rsidR="00F37D96">
              <w:t>this availability metric  guides the level of redundancy required to provide this level of service.</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Default="0039111C" w:rsidP="00B7559A">
            <w:r>
              <w:t>Direct dial in range in use &lt; 85%</w:t>
            </w:r>
          </w:p>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B7559A">
            <w:r>
              <w:t xml:space="preserve">Effectively this is the capacity of our telephone system to add more extensions. This is the margin that we need to retain so that we have sufficient time to increase capacity to meet demand by expanding the telephone exchange </w:t>
            </w:r>
          </w:p>
        </w:tc>
      </w:tr>
      <w:tr w:rsidR="0039111C" w:rsidRPr="002973BA" w:rsidTr="00CE369E">
        <w:tc>
          <w:tcPr>
            <w:tcW w:w="1976" w:type="dxa"/>
            <w:vMerge w:val="restart"/>
            <w:tcBorders>
              <w:top w:val="single" w:sz="2" w:space="0" w:color="000000"/>
              <w:left w:val="single" w:sz="1" w:space="0" w:color="000000"/>
              <w:bottom w:val="single" w:sz="2" w:space="0" w:color="000000"/>
              <w:right w:val="single" w:sz="2" w:space="0" w:color="000000"/>
            </w:tcBorders>
            <w:shd w:val="clear" w:color="auto" w:fill="auto"/>
          </w:tcPr>
          <w:p w:rsidR="0039111C" w:rsidRPr="002973BA" w:rsidRDefault="0039111C" w:rsidP="00B7559A">
            <w:r>
              <w:t xml:space="preserve">Hardware: </w:t>
            </w:r>
            <w:r w:rsidRPr="002973BA">
              <w:t>Servers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t>80% of all servers are virtualised</w:t>
            </w:r>
          </w:p>
          <w:p w:rsidR="0039111C" w:rsidRPr="002973BA" w:rsidRDefault="0039111C" w:rsidP="00B7559A"/>
        </w:tc>
        <w:tc>
          <w:tcPr>
            <w:tcW w:w="3686" w:type="dxa"/>
            <w:tcBorders>
              <w:top w:val="single" w:sz="2" w:space="0" w:color="000000"/>
              <w:left w:val="single" w:sz="2" w:space="0" w:color="000000"/>
              <w:bottom w:val="single" w:sz="2" w:space="0" w:color="000000"/>
              <w:right w:val="single" w:sz="1" w:space="0" w:color="000000"/>
            </w:tcBorders>
          </w:tcPr>
          <w:p w:rsidR="0039111C" w:rsidRPr="002973BA" w:rsidRDefault="0039111C" w:rsidP="00B7559A">
            <w:r>
              <w:t xml:space="preserve">This is an efficiency measure – the more servers that are virtualised the greater the efficiency in the server infrastructure. Achieving 100% is not feasible as there is a need for specialised servers or appliances e.g. door controllers, load balancers, firewalls. </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t>Underlying server platforms achieving 99.95% availability</w:t>
            </w:r>
          </w:p>
        </w:tc>
        <w:tc>
          <w:tcPr>
            <w:tcW w:w="3686" w:type="dxa"/>
            <w:tcBorders>
              <w:top w:val="single" w:sz="2" w:space="0" w:color="000000"/>
              <w:left w:val="single" w:sz="2" w:space="0" w:color="000000"/>
              <w:bottom w:val="single" w:sz="2" w:space="0" w:color="000000"/>
              <w:right w:val="single" w:sz="1" w:space="0" w:color="000000"/>
            </w:tcBorders>
          </w:tcPr>
          <w:p w:rsidR="0039111C" w:rsidRDefault="00F37D96" w:rsidP="00B7559A">
            <w:r>
              <w:t>This availability metric supports the overall service delivery target of 99.9%.</w:t>
            </w:r>
          </w:p>
        </w:tc>
      </w:tr>
      <w:tr w:rsidR="0039111C" w:rsidRPr="002973BA" w:rsidTr="00CE369E">
        <w:tc>
          <w:tcPr>
            <w:tcW w:w="1976" w:type="dxa"/>
            <w:vMerge w:val="restart"/>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r>
              <w:t xml:space="preserve">Hardware: </w:t>
            </w:r>
            <w:r w:rsidRPr="002973BA">
              <w:t>Storage</w:t>
            </w:r>
          </w:p>
          <w:p w:rsidR="00CE369E" w:rsidRDefault="00CE369E" w:rsidP="00B7559A"/>
          <w:p w:rsidR="00CE369E" w:rsidRDefault="00CE369E" w:rsidP="00B7559A"/>
          <w:p w:rsidR="00CE369E" w:rsidRDefault="00CE369E" w:rsidP="00B7559A"/>
          <w:p w:rsidR="00CE369E" w:rsidRDefault="00CE369E" w:rsidP="00B7559A"/>
          <w:p w:rsidR="00CE369E" w:rsidRDefault="00CE369E" w:rsidP="00B7559A"/>
          <w:p w:rsidR="00CE369E" w:rsidRDefault="00CE369E" w:rsidP="00B7559A"/>
          <w:p w:rsidR="00CE369E" w:rsidRDefault="00CE369E" w:rsidP="00B7559A">
            <w:r>
              <w:lastRenderedPageBreak/>
              <w:t xml:space="preserve">Hardware: </w:t>
            </w:r>
            <w:r w:rsidRPr="002973BA">
              <w:t>Storage</w:t>
            </w:r>
          </w:p>
          <w:p w:rsidR="00CE369E" w:rsidRPr="002973BA" w:rsidRDefault="00CE369E" w:rsidP="00B7559A">
            <w:r>
              <w:t>(CONTINUED)</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rsidRPr="002973BA">
              <w:lastRenderedPageBreak/>
              <w:t>95% of enterprise applications using central storage</w:t>
            </w:r>
          </w:p>
        </w:tc>
        <w:tc>
          <w:tcPr>
            <w:tcW w:w="3686" w:type="dxa"/>
            <w:tcBorders>
              <w:top w:val="single" w:sz="2" w:space="0" w:color="000000"/>
              <w:left w:val="single" w:sz="2" w:space="0" w:color="000000"/>
              <w:bottom w:val="single" w:sz="2" w:space="0" w:color="000000"/>
              <w:right w:val="single" w:sz="1" w:space="0" w:color="000000"/>
            </w:tcBorders>
          </w:tcPr>
          <w:p w:rsidR="0039111C" w:rsidRPr="002973BA" w:rsidRDefault="0039111C" w:rsidP="00B7559A">
            <w:r>
              <w:t>This is an efficiency measure – the more services that use the central storage the greater the efficiency. Achieving 100% is restricted by some legacy issues so that over time it may be possible to achieve 100%.</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Default="0039111C" w:rsidP="00B7559A">
            <w:r>
              <w:t>75</w:t>
            </w:r>
            <w:r w:rsidRPr="002973BA">
              <w:t xml:space="preserve">% of research community using </w:t>
            </w:r>
            <w:proofErr w:type="spellStart"/>
            <w:r w:rsidRPr="002973BA">
              <w:t>Datastore</w:t>
            </w:r>
            <w:proofErr w:type="spellEnd"/>
          </w:p>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B7559A">
            <w:r>
              <w:t xml:space="preserve">This is an effectiveness measure – the more researchers that use the central storage the greater the efficiency and the lower the risk of accidental loss of data. 75% is a stretch target at present a long term objective would be to </w:t>
            </w:r>
            <w:r>
              <w:lastRenderedPageBreak/>
              <w:t>achieve a significantly higher level e.g. 95%.</w:t>
            </w:r>
          </w:p>
        </w:tc>
      </w:tr>
      <w:tr w:rsidR="0039111C" w:rsidRPr="002973BA" w:rsidTr="00CE369E">
        <w:tc>
          <w:tcPr>
            <w:tcW w:w="1976" w:type="dxa"/>
            <w:vMerge/>
            <w:tcBorders>
              <w:top w:val="single" w:sz="2" w:space="0" w:color="000000"/>
              <w:left w:val="single" w:sz="1"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Default="0039111C" w:rsidP="00B7559A">
            <w:r>
              <w:t>Storage utilisation &lt; 80% capacity – enterprise and file-store</w:t>
            </w:r>
          </w:p>
          <w:p w:rsidR="0039111C" w:rsidRPr="002973BA" w:rsidRDefault="0039111C" w:rsidP="00B7559A"/>
        </w:tc>
        <w:tc>
          <w:tcPr>
            <w:tcW w:w="3686" w:type="dxa"/>
            <w:tcBorders>
              <w:top w:val="single" w:sz="2" w:space="0" w:color="000000"/>
              <w:left w:val="single" w:sz="2" w:space="0" w:color="000000"/>
              <w:bottom w:val="single" w:sz="2" w:space="0" w:color="000000"/>
              <w:right w:val="single" w:sz="1" w:space="0" w:color="000000"/>
            </w:tcBorders>
          </w:tcPr>
          <w:p w:rsidR="0039111C" w:rsidRDefault="0039111C" w:rsidP="00B7559A">
            <w:r>
              <w:t>Predicting future capacity is uncertain so this is a margin that we need to retain so that once capacity reaches 80% full we have sufficient time to increase capacity by ordering additional storage.</w:t>
            </w:r>
          </w:p>
        </w:tc>
      </w:tr>
      <w:tr w:rsidR="0039111C" w:rsidRPr="002973BA" w:rsidTr="00CE369E">
        <w:tc>
          <w:tcPr>
            <w:tcW w:w="197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t>Open Access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Pr="002973BA" w:rsidRDefault="0039111C" w:rsidP="00B7559A">
            <w:r>
              <w:t xml:space="preserve">Average student use per semester &gt; 40 hours and </w:t>
            </w:r>
            <w:r w:rsidRPr="00A42F90">
              <w:rPr>
                <w:i/>
              </w:rPr>
              <w:t>%</w:t>
            </w:r>
            <w:r>
              <w:t xml:space="preserve"> students using labs &gt; 65%</w:t>
            </w:r>
          </w:p>
        </w:tc>
        <w:tc>
          <w:tcPr>
            <w:tcW w:w="3686" w:type="dxa"/>
            <w:tcBorders>
              <w:top w:val="single" w:sz="2" w:space="0" w:color="000000"/>
              <w:left w:val="single" w:sz="2" w:space="0" w:color="000000"/>
              <w:bottom w:val="single" w:sz="2" w:space="0" w:color="000000"/>
              <w:right w:val="single" w:sz="2" w:space="0" w:color="000000"/>
            </w:tcBorders>
          </w:tcPr>
          <w:p w:rsidR="0039111C" w:rsidRDefault="0039111C" w:rsidP="00B7559A">
            <w:r>
              <w:t>Effectiveness measures ensuring that there is a need</w:t>
            </w:r>
          </w:p>
        </w:tc>
      </w:tr>
      <w:tr w:rsidR="0039111C" w:rsidRPr="002973BA" w:rsidTr="00CE369E">
        <w:tc>
          <w:tcPr>
            <w:tcW w:w="1976" w:type="dxa"/>
            <w:vMerge/>
            <w:tcBorders>
              <w:top w:val="single" w:sz="2" w:space="0" w:color="000000"/>
              <w:left w:val="single" w:sz="2" w:space="0" w:color="000000"/>
              <w:bottom w:val="single" w:sz="2" w:space="0" w:color="000000"/>
              <w:right w:val="single" w:sz="2" w:space="0" w:color="000000"/>
            </w:tcBorders>
            <w:shd w:val="clear" w:color="auto" w:fill="auto"/>
          </w:tcPr>
          <w:p w:rsidR="0039111C" w:rsidRDefault="0039111C" w:rsidP="00B7559A"/>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39111C" w:rsidRDefault="0039111C" w:rsidP="00B7559A">
            <w:r>
              <w:t>Peak usage in open access computers in high-use labs &gt; 90%</w:t>
            </w:r>
          </w:p>
        </w:tc>
        <w:tc>
          <w:tcPr>
            <w:tcW w:w="3686" w:type="dxa"/>
            <w:tcBorders>
              <w:top w:val="single" w:sz="2" w:space="0" w:color="000000"/>
              <w:left w:val="single" w:sz="2" w:space="0" w:color="000000"/>
              <w:bottom w:val="single" w:sz="2" w:space="0" w:color="000000"/>
              <w:right w:val="single" w:sz="2" w:space="0" w:color="000000"/>
            </w:tcBorders>
          </w:tcPr>
          <w:p w:rsidR="0039111C" w:rsidRDefault="0039111C" w:rsidP="00B7559A">
            <w:r>
              <w:t>Capacity measure - If the peak use is not greater than 90% and if we run at &gt;90% for significant periods we have too few.</w:t>
            </w:r>
          </w:p>
        </w:tc>
      </w:tr>
    </w:tbl>
    <w:p w:rsidR="005A0180" w:rsidRPr="00424C1D" w:rsidRDefault="005A0180" w:rsidP="00424C1D"/>
    <w:sectPr w:rsidR="005A0180" w:rsidRPr="00424C1D" w:rsidSect="00424C1D">
      <w:pgSz w:w="11906" w:h="16838"/>
      <w:pgMar w:top="1440" w:right="1440" w:bottom="1440" w:left="1440" w:header="0"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D5" w:rsidRDefault="000048D5" w:rsidP="00424C1D">
      <w:pPr>
        <w:spacing w:after="0" w:line="240" w:lineRule="auto"/>
      </w:pPr>
      <w:r>
        <w:separator/>
      </w:r>
    </w:p>
  </w:endnote>
  <w:endnote w:type="continuationSeparator" w:id="0">
    <w:p w:rsidR="000048D5" w:rsidRDefault="000048D5" w:rsidP="0042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60546"/>
      <w:docPartObj>
        <w:docPartGallery w:val="Page Numbers (Bottom of Page)"/>
        <w:docPartUnique/>
      </w:docPartObj>
    </w:sdtPr>
    <w:sdtEndPr>
      <w:rPr>
        <w:noProof/>
      </w:rPr>
    </w:sdtEndPr>
    <w:sdtContent>
      <w:p w:rsidR="00441D78" w:rsidRDefault="00441D78">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A33959" w:rsidRDefault="00A33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13952"/>
      <w:docPartObj>
        <w:docPartGallery w:val="Page Numbers (Bottom of Page)"/>
        <w:docPartUnique/>
      </w:docPartObj>
    </w:sdtPr>
    <w:sdtEndPr>
      <w:rPr>
        <w:noProof/>
      </w:rPr>
    </w:sdtEndPr>
    <w:sdtContent>
      <w:p w:rsidR="001C1338" w:rsidRDefault="001C133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C1338" w:rsidRDefault="001C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D5" w:rsidRDefault="000048D5" w:rsidP="00424C1D">
      <w:pPr>
        <w:spacing w:after="0" w:line="240" w:lineRule="auto"/>
      </w:pPr>
      <w:r>
        <w:separator/>
      </w:r>
    </w:p>
  </w:footnote>
  <w:footnote w:type="continuationSeparator" w:id="0">
    <w:p w:rsidR="000048D5" w:rsidRDefault="000048D5" w:rsidP="0042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39" w:rsidRDefault="00E07039" w:rsidP="00E07039">
    <w:pPr>
      <w:pStyle w:val="Header"/>
      <w:jc w:val="right"/>
      <w:rPr>
        <w:rFonts w:ascii="Arial" w:hAnsi="Arial" w:cs="Arial"/>
        <w:sz w:val="36"/>
        <w:szCs w:val="36"/>
      </w:rPr>
    </w:pPr>
  </w:p>
  <w:p w:rsidR="00A33959" w:rsidRDefault="00A339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9" w:rsidRDefault="00A33959">
    <w:pPr>
      <w:pStyle w:val="Header"/>
    </w:pPr>
  </w:p>
  <w:p w:rsidR="00A33959" w:rsidRDefault="00A33959">
    <w:pPr>
      <w:pStyle w:val="Header"/>
    </w:pPr>
  </w:p>
  <w:p w:rsidR="00A33959" w:rsidRDefault="00A3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
    <w:nsid w:val="00000007"/>
    <w:multiLevelType w:val="multilevel"/>
    <w:tmpl w:val="00000007"/>
    <w:name w:val="WW8Num7"/>
    <w:lvl w:ilvl="0">
      <w:start w:val="1"/>
      <w:numFmt w:val="decimal"/>
      <w:lvlText w:val="%1."/>
      <w:lvlJc w:val="left"/>
      <w:pPr>
        <w:tabs>
          <w:tab w:val="num" w:pos="784"/>
        </w:tabs>
        <w:ind w:left="784"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abstractNum w:abstractNumId="2">
    <w:nsid w:val="00000008"/>
    <w:multiLevelType w:val="multilevel"/>
    <w:tmpl w:val="00000008"/>
    <w:name w:val="WW8Num8"/>
    <w:lvl w:ilvl="0">
      <w:start w:val="1"/>
      <w:numFmt w:val="decimal"/>
      <w:lvlText w:val="%1."/>
      <w:lvlJc w:val="left"/>
      <w:pPr>
        <w:tabs>
          <w:tab w:val="num" w:pos="927"/>
        </w:tabs>
        <w:ind w:left="927"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abstractNum w:abstractNumId="3">
    <w:nsid w:val="00000009"/>
    <w:multiLevelType w:val="multilevel"/>
    <w:tmpl w:val="00000009"/>
    <w:name w:val="WW8Num9"/>
    <w:lvl w:ilvl="0">
      <w:start w:val="1"/>
      <w:numFmt w:val="decimal"/>
      <w:lvlText w:val="%1."/>
      <w:lvlJc w:val="left"/>
      <w:pPr>
        <w:tabs>
          <w:tab w:val="num" w:pos="784"/>
        </w:tabs>
        <w:ind w:left="784"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abstractNum w:abstractNumId="4">
    <w:nsid w:val="0000000A"/>
    <w:multiLevelType w:val="multilevel"/>
    <w:tmpl w:val="0000000A"/>
    <w:name w:val="WW8Num10"/>
    <w:lvl w:ilvl="0">
      <w:start w:val="1"/>
      <w:numFmt w:val="decimal"/>
      <w:lvlText w:val="%1."/>
      <w:lvlJc w:val="left"/>
      <w:pPr>
        <w:tabs>
          <w:tab w:val="num" w:pos="784"/>
        </w:tabs>
        <w:ind w:left="784"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abstractNum w:abstractNumId="5">
    <w:nsid w:val="0000000B"/>
    <w:multiLevelType w:val="multilevel"/>
    <w:tmpl w:val="0000000B"/>
    <w:name w:val="WW8Num11"/>
    <w:lvl w:ilvl="0">
      <w:start w:val="1"/>
      <w:numFmt w:val="decimal"/>
      <w:lvlText w:val="%1."/>
      <w:lvlJc w:val="left"/>
      <w:pPr>
        <w:tabs>
          <w:tab w:val="num" w:pos="784"/>
        </w:tabs>
        <w:ind w:left="784" w:hanging="360"/>
      </w:pPr>
    </w:lvl>
    <w:lvl w:ilvl="1">
      <w:start w:val="1"/>
      <w:numFmt w:val="decimal"/>
      <w:lvlText w:val="%2."/>
      <w:lvlJc w:val="left"/>
      <w:pPr>
        <w:tabs>
          <w:tab w:val="num" w:pos="1144"/>
        </w:tabs>
        <w:ind w:left="114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1864"/>
        </w:tabs>
        <w:ind w:left="1864" w:hanging="360"/>
      </w:pPr>
    </w:lvl>
    <w:lvl w:ilvl="4">
      <w:start w:val="1"/>
      <w:numFmt w:val="decimal"/>
      <w:lvlText w:val="%5."/>
      <w:lvlJc w:val="left"/>
      <w:pPr>
        <w:tabs>
          <w:tab w:val="num" w:pos="2224"/>
        </w:tabs>
        <w:ind w:left="2224" w:hanging="360"/>
      </w:pPr>
    </w:lvl>
    <w:lvl w:ilvl="5">
      <w:start w:val="1"/>
      <w:numFmt w:val="decimal"/>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decimal"/>
      <w:lvlText w:val="%8."/>
      <w:lvlJc w:val="left"/>
      <w:pPr>
        <w:tabs>
          <w:tab w:val="num" w:pos="3304"/>
        </w:tabs>
        <w:ind w:left="3304" w:hanging="360"/>
      </w:pPr>
    </w:lvl>
    <w:lvl w:ilvl="8">
      <w:start w:val="1"/>
      <w:numFmt w:val="decimal"/>
      <w:lvlText w:val="%9."/>
      <w:lvlJc w:val="left"/>
      <w:pPr>
        <w:tabs>
          <w:tab w:val="num" w:pos="3664"/>
        </w:tabs>
        <w:ind w:left="3664" w:hanging="360"/>
      </w:pPr>
    </w:lvl>
  </w:abstractNum>
  <w:abstractNum w:abstractNumId="6">
    <w:nsid w:val="0000000D"/>
    <w:multiLevelType w:val="multilevel"/>
    <w:tmpl w:val="0000000D"/>
    <w:name w:val="WW8Num13"/>
    <w:lvl w:ilvl="0">
      <w:start w:val="1"/>
      <w:numFmt w:val="decimal"/>
      <w:lvlText w:val="%1."/>
      <w:lvlJc w:val="left"/>
      <w:pPr>
        <w:tabs>
          <w:tab w:val="num" w:pos="845"/>
        </w:tabs>
        <w:ind w:left="845" w:hanging="360"/>
      </w:pPr>
    </w:lvl>
    <w:lvl w:ilvl="1">
      <w:start w:val="1"/>
      <w:numFmt w:val="decimal"/>
      <w:lvlText w:val="%2."/>
      <w:lvlJc w:val="left"/>
      <w:pPr>
        <w:tabs>
          <w:tab w:val="num" w:pos="1205"/>
        </w:tabs>
        <w:ind w:left="1205" w:hanging="360"/>
      </w:pPr>
    </w:lvl>
    <w:lvl w:ilvl="2">
      <w:start w:val="1"/>
      <w:numFmt w:val="decimal"/>
      <w:lvlText w:val="%3."/>
      <w:lvlJc w:val="left"/>
      <w:pPr>
        <w:tabs>
          <w:tab w:val="num" w:pos="1565"/>
        </w:tabs>
        <w:ind w:left="1565" w:hanging="360"/>
      </w:pPr>
    </w:lvl>
    <w:lvl w:ilvl="3">
      <w:start w:val="1"/>
      <w:numFmt w:val="decimal"/>
      <w:lvlText w:val="%4."/>
      <w:lvlJc w:val="left"/>
      <w:pPr>
        <w:tabs>
          <w:tab w:val="num" w:pos="1925"/>
        </w:tabs>
        <w:ind w:left="1925" w:hanging="360"/>
      </w:pPr>
    </w:lvl>
    <w:lvl w:ilvl="4">
      <w:start w:val="1"/>
      <w:numFmt w:val="decimal"/>
      <w:lvlText w:val="%5."/>
      <w:lvlJc w:val="left"/>
      <w:pPr>
        <w:tabs>
          <w:tab w:val="num" w:pos="2285"/>
        </w:tabs>
        <w:ind w:left="2285" w:hanging="360"/>
      </w:pPr>
    </w:lvl>
    <w:lvl w:ilvl="5">
      <w:start w:val="1"/>
      <w:numFmt w:val="decimal"/>
      <w:lvlText w:val="%6."/>
      <w:lvlJc w:val="left"/>
      <w:pPr>
        <w:tabs>
          <w:tab w:val="num" w:pos="2645"/>
        </w:tabs>
        <w:ind w:left="2645" w:hanging="360"/>
      </w:pPr>
    </w:lvl>
    <w:lvl w:ilvl="6">
      <w:start w:val="1"/>
      <w:numFmt w:val="decimal"/>
      <w:lvlText w:val="%7."/>
      <w:lvlJc w:val="left"/>
      <w:pPr>
        <w:tabs>
          <w:tab w:val="num" w:pos="3005"/>
        </w:tabs>
        <w:ind w:left="3005" w:hanging="360"/>
      </w:pPr>
    </w:lvl>
    <w:lvl w:ilvl="7">
      <w:start w:val="1"/>
      <w:numFmt w:val="decimal"/>
      <w:lvlText w:val="%8."/>
      <w:lvlJc w:val="left"/>
      <w:pPr>
        <w:tabs>
          <w:tab w:val="num" w:pos="3365"/>
        </w:tabs>
        <w:ind w:left="3365" w:hanging="360"/>
      </w:pPr>
    </w:lvl>
    <w:lvl w:ilvl="8">
      <w:start w:val="1"/>
      <w:numFmt w:val="decimal"/>
      <w:lvlText w:val="%9."/>
      <w:lvlJc w:val="left"/>
      <w:pPr>
        <w:tabs>
          <w:tab w:val="num" w:pos="3725"/>
        </w:tabs>
        <w:ind w:left="3725" w:hanging="360"/>
      </w:pPr>
    </w:lvl>
  </w:abstractNum>
  <w:abstractNum w:abstractNumId="7">
    <w:nsid w:val="03D771CB"/>
    <w:multiLevelType w:val="hybridMultilevel"/>
    <w:tmpl w:val="76CA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617433"/>
    <w:multiLevelType w:val="hybridMultilevel"/>
    <w:tmpl w:val="0F267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10C2F22"/>
    <w:multiLevelType w:val="hybridMultilevel"/>
    <w:tmpl w:val="9844012A"/>
    <w:lvl w:ilvl="0" w:tplc="FEE426EC">
      <w:numFmt w:val="bullet"/>
      <w:lvlText w:val="-"/>
      <w:lvlJc w:val="left"/>
      <w:pPr>
        <w:ind w:left="720" w:hanging="360"/>
      </w:pPr>
      <w:rPr>
        <w:rFonts w:ascii="Calibri" w:eastAsia="WenQuanYi Micro He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54922"/>
    <w:multiLevelType w:val="hybridMultilevel"/>
    <w:tmpl w:val="CEA8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96361"/>
    <w:multiLevelType w:val="hybridMultilevel"/>
    <w:tmpl w:val="9E44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D2573A"/>
    <w:multiLevelType w:val="multilevel"/>
    <w:tmpl w:val="279A92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21767341"/>
    <w:multiLevelType w:val="multilevel"/>
    <w:tmpl w:val="AD8EAA06"/>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4">
    <w:nsid w:val="27970A6F"/>
    <w:multiLevelType w:val="hybridMultilevel"/>
    <w:tmpl w:val="EC90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50902"/>
    <w:multiLevelType w:val="multilevel"/>
    <w:tmpl w:val="A4A28D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341A02A1"/>
    <w:multiLevelType w:val="hybridMultilevel"/>
    <w:tmpl w:val="2BDA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243FBD"/>
    <w:multiLevelType w:val="hybridMultilevel"/>
    <w:tmpl w:val="0E18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C670A"/>
    <w:multiLevelType w:val="multilevel"/>
    <w:tmpl w:val="78CCC0D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3FA61493"/>
    <w:multiLevelType w:val="multilevel"/>
    <w:tmpl w:val="153CEB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2113AAC"/>
    <w:multiLevelType w:val="hybridMultilevel"/>
    <w:tmpl w:val="29A0609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nsid w:val="64CD467E"/>
    <w:multiLevelType w:val="hybridMultilevel"/>
    <w:tmpl w:val="3C18D3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6A004D33"/>
    <w:multiLevelType w:val="hybridMultilevel"/>
    <w:tmpl w:val="D960C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702975"/>
    <w:multiLevelType w:val="multilevel"/>
    <w:tmpl w:val="3AECC7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6FFD00F6"/>
    <w:multiLevelType w:val="multilevel"/>
    <w:tmpl w:val="109228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71D36D70"/>
    <w:multiLevelType w:val="hybridMultilevel"/>
    <w:tmpl w:val="3DCC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9D35BE"/>
    <w:multiLevelType w:val="hybridMultilevel"/>
    <w:tmpl w:val="EB8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9"/>
  </w:num>
  <w:num w:numId="4">
    <w:abstractNumId w:val="15"/>
  </w:num>
  <w:num w:numId="5">
    <w:abstractNumId w:val="13"/>
  </w:num>
  <w:num w:numId="6">
    <w:abstractNumId w:val="12"/>
  </w:num>
  <w:num w:numId="7">
    <w:abstractNumId w:val="24"/>
  </w:num>
  <w:num w:numId="8">
    <w:abstractNumId w:val="17"/>
  </w:num>
  <w:num w:numId="9">
    <w:abstractNumId w:val="10"/>
  </w:num>
  <w:num w:numId="10">
    <w:abstractNumId w:val="8"/>
  </w:num>
  <w:num w:numId="11">
    <w:abstractNumId w:val="16"/>
  </w:num>
  <w:num w:numId="12">
    <w:abstractNumId w:val="21"/>
  </w:num>
  <w:num w:numId="13">
    <w:abstractNumId w:val="25"/>
  </w:num>
  <w:num w:numId="14">
    <w:abstractNumId w:val="11"/>
  </w:num>
  <w:num w:numId="15">
    <w:abstractNumId w:val="7"/>
  </w:num>
  <w:num w:numId="16">
    <w:abstractNumId w:val="14"/>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20"/>
  </w:num>
  <w:num w:numId="25">
    <w:abstractNumId w:val="9"/>
  </w:num>
  <w:num w:numId="26">
    <w:abstractNumId w:val="22"/>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1D"/>
    <w:rsid w:val="000048D5"/>
    <w:rsid w:val="00030B67"/>
    <w:rsid w:val="0004398C"/>
    <w:rsid w:val="000621AB"/>
    <w:rsid w:val="000E3AD8"/>
    <w:rsid w:val="000E4D02"/>
    <w:rsid w:val="00144CE0"/>
    <w:rsid w:val="00177EB6"/>
    <w:rsid w:val="00180D5A"/>
    <w:rsid w:val="001C1338"/>
    <w:rsid w:val="001E2D49"/>
    <w:rsid w:val="00202E68"/>
    <w:rsid w:val="00224D50"/>
    <w:rsid w:val="00236632"/>
    <w:rsid w:val="002523BC"/>
    <w:rsid w:val="0027448D"/>
    <w:rsid w:val="002C7070"/>
    <w:rsid w:val="002D1159"/>
    <w:rsid w:val="002F2F2D"/>
    <w:rsid w:val="00350B2E"/>
    <w:rsid w:val="0037108A"/>
    <w:rsid w:val="0038528E"/>
    <w:rsid w:val="0039111C"/>
    <w:rsid w:val="003A4FFE"/>
    <w:rsid w:val="003C1776"/>
    <w:rsid w:val="003E35B2"/>
    <w:rsid w:val="00413414"/>
    <w:rsid w:val="00414D63"/>
    <w:rsid w:val="00420761"/>
    <w:rsid w:val="00424C1D"/>
    <w:rsid w:val="00441D78"/>
    <w:rsid w:val="00483435"/>
    <w:rsid w:val="004837F5"/>
    <w:rsid w:val="00486579"/>
    <w:rsid w:val="004D130D"/>
    <w:rsid w:val="00514C51"/>
    <w:rsid w:val="005746EF"/>
    <w:rsid w:val="005A0180"/>
    <w:rsid w:val="005C1196"/>
    <w:rsid w:val="006273F9"/>
    <w:rsid w:val="0063365F"/>
    <w:rsid w:val="006563B1"/>
    <w:rsid w:val="00674784"/>
    <w:rsid w:val="007851C8"/>
    <w:rsid w:val="007F107F"/>
    <w:rsid w:val="008024E6"/>
    <w:rsid w:val="0080708C"/>
    <w:rsid w:val="00860D59"/>
    <w:rsid w:val="00892998"/>
    <w:rsid w:val="008F429E"/>
    <w:rsid w:val="00901281"/>
    <w:rsid w:val="00921161"/>
    <w:rsid w:val="009430AF"/>
    <w:rsid w:val="009976C0"/>
    <w:rsid w:val="00A048BC"/>
    <w:rsid w:val="00A07056"/>
    <w:rsid w:val="00A33959"/>
    <w:rsid w:val="00A4661A"/>
    <w:rsid w:val="00A94C3E"/>
    <w:rsid w:val="00AD296E"/>
    <w:rsid w:val="00AE7AF5"/>
    <w:rsid w:val="00AF070F"/>
    <w:rsid w:val="00AF178D"/>
    <w:rsid w:val="00B1513C"/>
    <w:rsid w:val="00B20DD3"/>
    <w:rsid w:val="00B232ED"/>
    <w:rsid w:val="00B23B32"/>
    <w:rsid w:val="00B7559A"/>
    <w:rsid w:val="00B77B7D"/>
    <w:rsid w:val="00B936E3"/>
    <w:rsid w:val="00BF7C5A"/>
    <w:rsid w:val="00BF7DCE"/>
    <w:rsid w:val="00C028C3"/>
    <w:rsid w:val="00C072FF"/>
    <w:rsid w:val="00C55EB7"/>
    <w:rsid w:val="00C95ECC"/>
    <w:rsid w:val="00CA1A71"/>
    <w:rsid w:val="00CA47C7"/>
    <w:rsid w:val="00CB7E3D"/>
    <w:rsid w:val="00CE369E"/>
    <w:rsid w:val="00D04425"/>
    <w:rsid w:val="00D43E8D"/>
    <w:rsid w:val="00D64C0F"/>
    <w:rsid w:val="00DB02B1"/>
    <w:rsid w:val="00DB70D4"/>
    <w:rsid w:val="00E07039"/>
    <w:rsid w:val="00E53F86"/>
    <w:rsid w:val="00E84ECE"/>
    <w:rsid w:val="00EC14AB"/>
    <w:rsid w:val="00ED4F92"/>
    <w:rsid w:val="00EE4D78"/>
    <w:rsid w:val="00F37D96"/>
    <w:rsid w:val="00F41C2D"/>
    <w:rsid w:val="00F95BC3"/>
    <w:rsid w:val="00FD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4C1D"/>
    <w:pPr>
      <w:tabs>
        <w:tab w:val="left" w:pos="720"/>
      </w:tabs>
      <w:suppressAutoHyphens/>
    </w:pPr>
    <w:rPr>
      <w:rFonts w:ascii="Calibri" w:eastAsia="WenQuanYi Micro Hei" w:hAnsi="Calibri" w:cs="Calibri"/>
      <w:color w:val="00000A"/>
    </w:rPr>
  </w:style>
  <w:style w:type="paragraph" w:styleId="Heading1">
    <w:name w:val="heading 1"/>
    <w:basedOn w:val="Normal"/>
    <w:next w:val="Textbody"/>
    <w:link w:val="Heading1Char"/>
    <w:rsid w:val="00424C1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Textbody"/>
    <w:link w:val="Heading2Char"/>
    <w:rsid w:val="00424C1D"/>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Textbody"/>
    <w:link w:val="Heading3Char"/>
    <w:rsid w:val="00424C1D"/>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424C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4F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C1D"/>
    <w:rPr>
      <w:rFonts w:ascii="Cambria" w:eastAsia="WenQuanYi Micro Hei" w:hAnsi="Cambria" w:cs="Calibri"/>
      <w:b/>
      <w:bCs/>
      <w:color w:val="365F91"/>
      <w:sz w:val="28"/>
      <w:szCs w:val="28"/>
    </w:rPr>
  </w:style>
  <w:style w:type="character" w:customStyle="1" w:styleId="Heading2Char">
    <w:name w:val="Heading 2 Char"/>
    <w:basedOn w:val="DefaultParagraphFont"/>
    <w:link w:val="Heading2"/>
    <w:rsid w:val="00424C1D"/>
    <w:rPr>
      <w:rFonts w:ascii="Cambria" w:eastAsia="WenQuanYi Micro Hei" w:hAnsi="Cambria" w:cs="Calibri"/>
      <w:b/>
      <w:bCs/>
      <w:color w:val="4F81BD"/>
      <w:sz w:val="26"/>
      <w:szCs w:val="26"/>
    </w:rPr>
  </w:style>
  <w:style w:type="character" w:customStyle="1" w:styleId="Heading3Char">
    <w:name w:val="Heading 3 Char"/>
    <w:basedOn w:val="DefaultParagraphFont"/>
    <w:link w:val="Heading3"/>
    <w:rsid w:val="00424C1D"/>
    <w:rPr>
      <w:rFonts w:ascii="Cambria" w:eastAsia="WenQuanYi Micro Hei" w:hAnsi="Cambria" w:cs="Calibri"/>
      <w:b/>
      <w:bCs/>
      <w:color w:val="4F81BD"/>
    </w:rPr>
  </w:style>
  <w:style w:type="character" w:customStyle="1" w:styleId="Heading4Char">
    <w:name w:val="Heading 4 Char"/>
    <w:basedOn w:val="DefaultParagraphFont"/>
    <w:link w:val="Heading4"/>
    <w:uiPriority w:val="9"/>
    <w:rsid w:val="00424C1D"/>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rsid w:val="00424C1D"/>
    <w:rPr>
      <w:rFonts w:ascii="Tahoma" w:hAnsi="Tahoma" w:cs="Tahoma"/>
      <w:sz w:val="16"/>
      <w:szCs w:val="16"/>
    </w:rPr>
  </w:style>
  <w:style w:type="character" w:customStyle="1" w:styleId="ListLabel1">
    <w:name w:val="ListLabel 1"/>
    <w:rsid w:val="00424C1D"/>
    <w:rPr>
      <w:rFonts w:cs="Courier New"/>
    </w:rPr>
  </w:style>
  <w:style w:type="character" w:customStyle="1" w:styleId="ListLabel2">
    <w:name w:val="ListLabel 2"/>
    <w:rsid w:val="00424C1D"/>
    <w:rPr>
      <w:rFonts w:cs="OpenSymbol"/>
    </w:rPr>
  </w:style>
  <w:style w:type="character" w:customStyle="1" w:styleId="ListLabel3">
    <w:name w:val="ListLabel 3"/>
    <w:rsid w:val="00424C1D"/>
    <w:rPr>
      <w:rFonts w:cs="Calibri"/>
    </w:rPr>
  </w:style>
  <w:style w:type="character" w:customStyle="1" w:styleId="Bullets">
    <w:name w:val="Bullets"/>
    <w:rsid w:val="00424C1D"/>
    <w:rPr>
      <w:rFonts w:ascii="OpenSymbol" w:eastAsia="OpenSymbol" w:hAnsi="OpenSymbol" w:cs="OpenSymbol"/>
    </w:rPr>
  </w:style>
  <w:style w:type="character" w:customStyle="1" w:styleId="ListLabel4">
    <w:name w:val="ListLabel 4"/>
    <w:rsid w:val="00424C1D"/>
    <w:rPr>
      <w:rFonts w:cs="Symbol"/>
    </w:rPr>
  </w:style>
  <w:style w:type="character" w:customStyle="1" w:styleId="ListLabel5">
    <w:name w:val="ListLabel 5"/>
    <w:rsid w:val="00424C1D"/>
    <w:rPr>
      <w:rFonts w:cs="Courier New"/>
    </w:rPr>
  </w:style>
  <w:style w:type="character" w:customStyle="1" w:styleId="ListLabel6">
    <w:name w:val="ListLabel 6"/>
    <w:rsid w:val="00424C1D"/>
    <w:rPr>
      <w:rFonts w:cs="Wingdings"/>
    </w:rPr>
  </w:style>
  <w:style w:type="character" w:customStyle="1" w:styleId="ListLabel7">
    <w:name w:val="ListLabel 7"/>
    <w:rsid w:val="00424C1D"/>
    <w:rPr>
      <w:rFonts w:cs="OpenSymbol"/>
    </w:rPr>
  </w:style>
  <w:style w:type="character" w:customStyle="1" w:styleId="ListLabel8">
    <w:name w:val="ListLabel 8"/>
    <w:rsid w:val="00424C1D"/>
    <w:rPr>
      <w:rFonts w:cs="Symbol"/>
    </w:rPr>
  </w:style>
  <w:style w:type="character" w:customStyle="1" w:styleId="ListLabel9">
    <w:name w:val="ListLabel 9"/>
    <w:rsid w:val="00424C1D"/>
    <w:rPr>
      <w:rFonts w:cs="Courier New"/>
    </w:rPr>
  </w:style>
  <w:style w:type="character" w:customStyle="1" w:styleId="ListLabel10">
    <w:name w:val="ListLabel 10"/>
    <w:rsid w:val="00424C1D"/>
    <w:rPr>
      <w:rFonts w:cs="Wingdings"/>
    </w:rPr>
  </w:style>
  <w:style w:type="character" w:customStyle="1" w:styleId="ListLabel11">
    <w:name w:val="ListLabel 11"/>
    <w:rsid w:val="00424C1D"/>
    <w:rPr>
      <w:rFonts w:cs="OpenSymbol"/>
    </w:rPr>
  </w:style>
  <w:style w:type="character" w:customStyle="1" w:styleId="ListLabel12">
    <w:name w:val="ListLabel 12"/>
    <w:rsid w:val="00424C1D"/>
    <w:rPr>
      <w:rFonts w:cs="Symbol"/>
    </w:rPr>
  </w:style>
  <w:style w:type="character" w:customStyle="1" w:styleId="ListLabel13">
    <w:name w:val="ListLabel 13"/>
    <w:rsid w:val="00424C1D"/>
    <w:rPr>
      <w:rFonts w:cs="Courier New"/>
    </w:rPr>
  </w:style>
  <w:style w:type="character" w:customStyle="1" w:styleId="ListLabel14">
    <w:name w:val="ListLabel 14"/>
    <w:rsid w:val="00424C1D"/>
    <w:rPr>
      <w:rFonts w:cs="Wingdings"/>
    </w:rPr>
  </w:style>
  <w:style w:type="character" w:customStyle="1" w:styleId="ListLabel15">
    <w:name w:val="ListLabel 15"/>
    <w:rsid w:val="00424C1D"/>
    <w:rPr>
      <w:rFonts w:cs="OpenSymbol"/>
    </w:rPr>
  </w:style>
  <w:style w:type="paragraph" w:customStyle="1" w:styleId="Heading">
    <w:name w:val="Heading"/>
    <w:basedOn w:val="Normal"/>
    <w:next w:val="Textbody"/>
    <w:rsid w:val="00424C1D"/>
    <w:pPr>
      <w:keepNext/>
      <w:spacing w:before="240" w:after="120"/>
    </w:pPr>
    <w:rPr>
      <w:rFonts w:ascii="Liberation Sans" w:hAnsi="Liberation Sans" w:cs="Lohit Hindi"/>
      <w:sz w:val="28"/>
      <w:szCs w:val="28"/>
    </w:rPr>
  </w:style>
  <w:style w:type="paragraph" w:customStyle="1" w:styleId="Textbody">
    <w:name w:val="Text body"/>
    <w:basedOn w:val="Normal"/>
    <w:rsid w:val="00424C1D"/>
    <w:pPr>
      <w:spacing w:after="120"/>
    </w:pPr>
  </w:style>
  <w:style w:type="paragraph" w:styleId="List">
    <w:name w:val="List"/>
    <w:basedOn w:val="Textbody"/>
    <w:rsid w:val="00424C1D"/>
    <w:rPr>
      <w:rFonts w:cs="Lohit Hindi"/>
    </w:rPr>
  </w:style>
  <w:style w:type="paragraph" w:styleId="Caption">
    <w:name w:val="caption"/>
    <w:basedOn w:val="Normal"/>
    <w:rsid w:val="00424C1D"/>
    <w:pPr>
      <w:suppressLineNumbers/>
      <w:spacing w:before="120" w:after="120"/>
    </w:pPr>
    <w:rPr>
      <w:rFonts w:cs="Lohit Hindi"/>
      <w:i/>
      <w:iCs/>
      <w:sz w:val="24"/>
      <w:szCs w:val="24"/>
    </w:rPr>
  </w:style>
  <w:style w:type="paragraph" w:customStyle="1" w:styleId="Index">
    <w:name w:val="Index"/>
    <w:basedOn w:val="Normal"/>
    <w:rsid w:val="00424C1D"/>
    <w:pPr>
      <w:suppressLineNumbers/>
    </w:pPr>
    <w:rPr>
      <w:rFonts w:cs="Lohit Hindi"/>
    </w:rPr>
  </w:style>
  <w:style w:type="paragraph" w:styleId="ListParagraph">
    <w:name w:val="List Paragraph"/>
    <w:basedOn w:val="Normal"/>
    <w:uiPriority w:val="34"/>
    <w:qFormat/>
    <w:rsid w:val="00424C1D"/>
    <w:pPr>
      <w:ind w:left="720"/>
    </w:pPr>
  </w:style>
  <w:style w:type="paragraph" w:styleId="NormalWeb">
    <w:name w:val="Normal (Web)"/>
    <w:basedOn w:val="Normal"/>
    <w:uiPriority w:val="99"/>
    <w:rsid w:val="00424C1D"/>
    <w:pPr>
      <w:spacing w:before="28" w:after="28" w:line="100" w:lineRule="atLeast"/>
    </w:pPr>
    <w:rPr>
      <w:rFonts w:ascii="Times New Roman" w:hAnsi="Times New Roman" w:cs="Times New Roman"/>
      <w:sz w:val="24"/>
      <w:szCs w:val="24"/>
      <w:lang w:eastAsia="zh-CN"/>
    </w:rPr>
  </w:style>
  <w:style w:type="paragraph" w:styleId="BalloonText">
    <w:name w:val="Balloon Text"/>
    <w:basedOn w:val="Normal"/>
    <w:link w:val="BalloonTextChar1"/>
    <w:rsid w:val="00424C1D"/>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424C1D"/>
    <w:rPr>
      <w:rFonts w:ascii="Tahoma" w:eastAsia="WenQuanYi Micro Hei" w:hAnsi="Tahoma" w:cs="Tahoma"/>
      <w:color w:val="00000A"/>
      <w:sz w:val="16"/>
      <w:szCs w:val="16"/>
    </w:rPr>
  </w:style>
  <w:style w:type="paragraph" w:customStyle="1" w:styleId="TableContents">
    <w:name w:val="Table Contents"/>
    <w:basedOn w:val="Normal"/>
    <w:rsid w:val="00424C1D"/>
    <w:pPr>
      <w:suppressLineNumbers/>
    </w:pPr>
  </w:style>
  <w:style w:type="paragraph" w:customStyle="1" w:styleId="TableHeading">
    <w:name w:val="Table Heading"/>
    <w:basedOn w:val="TableContents"/>
    <w:rsid w:val="00424C1D"/>
    <w:pPr>
      <w:jc w:val="center"/>
    </w:pPr>
    <w:rPr>
      <w:b/>
      <w:bCs/>
    </w:rPr>
  </w:style>
  <w:style w:type="table" w:styleId="TableGrid">
    <w:name w:val="Table Grid"/>
    <w:basedOn w:val="TableNormal"/>
    <w:uiPriority w:val="59"/>
    <w:rsid w:val="00424C1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4C1D"/>
    <w:rPr>
      <w:sz w:val="16"/>
      <w:szCs w:val="16"/>
    </w:rPr>
  </w:style>
  <w:style w:type="paragraph" w:styleId="CommentText">
    <w:name w:val="annotation text"/>
    <w:basedOn w:val="Normal"/>
    <w:link w:val="CommentTextChar"/>
    <w:uiPriority w:val="99"/>
    <w:unhideWhenUsed/>
    <w:rsid w:val="00424C1D"/>
    <w:pPr>
      <w:spacing w:line="240" w:lineRule="auto"/>
    </w:pPr>
    <w:rPr>
      <w:sz w:val="20"/>
      <w:szCs w:val="20"/>
    </w:rPr>
  </w:style>
  <w:style w:type="character" w:customStyle="1" w:styleId="CommentTextChar">
    <w:name w:val="Comment Text Char"/>
    <w:basedOn w:val="DefaultParagraphFont"/>
    <w:link w:val="CommentText"/>
    <w:uiPriority w:val="99"/>
    <w:rsid w:val="00424C1D"/>
    <w:rPr>
      <w:rFonts w:ascii="Calibri" w:eastAsia="WenQuanYi Micro Hei" w:hAnsi="Calibri" w:cs="Calibri"/>
      <w:color w:val="00000A"/>
      <w:sz w:val="20"/>
      <w:szCs w:val="20"/>
    </w:rPr>
  </w:style>
  <w:style w:type="paragraph" w:styleId="CommentSubject">
    <w:name w:val="annotation subject"/>
    <w:basedOn w:val="CommentText"/>
    <w:next w:val="CommentText"/>
    <w:link w:val="CommentSubjectChar"/>
    <w:uiPriority w:val="99"/>
    <w:semiHidden/>
    <w:unhideWhenUsed/>
    <w:rsid w:val="00424C1D"/>
    <w:rPr>
      <w:b/>
      <w:bCs/>
    </w:rPr>
  </w:style>
  <w:style w:type="character" w:customStyle="1" w:styleId="CommentSubjectChar">
    <w:name w:val="Comment Subject Char"/>
    <w:basedOn w:val="CommentTextChar"/>
    <w:link w:val="CommentSubject"/>
    <w:uiPriority w:val="99"/>
    <w:semiHidden/>
    <w:rsid w:val="00424C1D"/>
    <w:rPr>
      <w:rFonts w:ascii="Calibri" w:eastAsia="WenQuanYi Micro Hei" w:hAnsi="Calibri" w:cs="Calibri"/>
      <w:b/>
      <w:bCs/>
      <w:color w:val="00000A"/>
      <w:sz w:val="20"/>
      <w:szCs w:val="20"/>
    </w:rPr>
  </w:style>
  <w:style w:type="table" w:customStyle="1" w:styleId="TableGrid1">
    <w:name w:val="Table Grid1"/>
    <w:basedOn w:val="TableNormal"/>
    <w:next w:val="TableGrid"/>
    <w:uiPriority w:val="59"/>
    <w:rsid w:val="00424C1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4C1D"/>
    <w:pPr>
      <w:tabs>
        <w:tab w:val="left" w:pos="720"/>
      </w:tabs>
      <w:suppressAutoHyphens/>
      <w:spacing w:after="0" w:line="240" w:lineRule="auto"/>
    </w:pPr>
    <w:rPr>
      <w:rFonts w:ascii="Calibri" w:eastAsia="WenQuanYi Micro Hei" w:hAnsi="Calibri" w:cs="Calibri"/>
      <w:color w:val="00000A"/>
    </w:rPr>
  </w:style>
  <w:style w:type="paragraph" w:styleId="Header">
    <w:name w:val="header"/>
    <w:basedOn w:val="Normal"/>
    <w:link w:val="HeaderChar"/>
    <w:uiPriority w:val="99"/>
    <w:unhideWhenUsed/>
    <w:rsid w:val="00424C1D"/>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424C1D"/>
    <w:rPr>
      <w:rFonts w:ascii="Calibri" w:eastAsia="WenQuanYi Micro Hei" w:hAnsi="Calibri" w:cs="Calibri"/>
      <w:color w:val="00000A"/>
    </w:rPr>
  </w:style>
  <w:style w:type="paragraph" w:styleId="Footer">
    <w:name w:val="footer"/>
    <w:basedOn w:val="Normal"/>
    <w:link w:val="FooterChar"/>
    <w:uiPriority w:val="99"/>
    <w:unhideWhenUsed/>
    <w:rsid w:val="00424C1D"/>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424C1D"/>
    <w:rPr>
      <w:rFonts w:ascii="Calibri" w:eastAsia="WenQuanYi Micro Hei" w:hAnsi="Calibri" w:cs="Calibri"/>
      <w:color w:val="00000A"/>
    </w:rPr>
  </w:style>
  <w:style w:type="paragraph" w:styleId="Title">
    <w:name w:val="Title"/>
    <w:basedOn w:val="Normal"/>
    <w:next w:val="Normal"/>
    <w:link w:val="TitleChar"/>
    <w:uiPriority w:val="10"/>
    <w:qFormat/>
    <w:rsid w:val="00424C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C1D"/>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3A4FFE"/>
    <w:rPr>
      <w:rFonts w:asciiTheme="majorHAnsi" w:eastAsiaTheme="majorEastAsia" w:hAnsiTheme="majorHAnsi" w:cstheme="majorBidi"/>
      <w:color w:val="243F60" w:themeColor="accent1" w:themeShade="7F"/>
    </w:rPr>
  </w:style>
  <w:style w:type="paragraph" w:customStyle="1" w:styleId="Default">
    <w:name w:val="Default"/>
    <w:rsid w:val="0048343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60D59"/>
    <w:pPr>
      <w:spacing w:after="0" w:line="240" w:lineRule="auto"/>
    </w:pPr>
    <w:rPr>
      <w:rFonts w:ascii="Calibri" w:eastAsia="WenQuanYi Micro He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4C1D"/>
    <w:pPr>
      <w:tabs>
        <w:tab w:val="left" w:pos="720"/>
      </w:tabs>
      <w:suppressAutoHyphens/>
    </w:pPr>
    <w:rPr>
      <w:rFonts w:ascii="Calibri" w:eastAsia="WenQuanYi Micro Hei" w:hAnsi="Calibri" w:cs="Calibri"/>
      <w:color w:val="00000A"/>
    </w:rPr>
  </w:style>
  <w:style w:type="paragraph" w:styleId="Heading1">
    <w:name w:val="heading 1"/>
    <w:basedOn w:val="Normal"/>
    <w:next w:val="Textbody"/>
    <w:link w:val="Heading1Char"/>
    <w:rsid w:val="00424C1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Textbody"/>
    <w:link w:val="Heading2Char"/>
    <w:rsid w:val="00424C1D"/>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Textbody"/>
    <w:link w:val="Heading3Char"/>
    <w:rsid w:val="00424C1D"/>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424C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4F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C1D"/>
    <w:rPr>
      <w:rFonts w:ascii="Cambria" w:eastAsia="WenQuanYi Micro Hei" w:hAnsi="Cambria" w:cs="Calibri"/>
      <w:b/>
      <w:bCs/>
      <w:color w:val="365F91"/>
      <w:sz w:val="28"/>
      <w:szCs w:val="28"/>
    </w:rPr>
  </w:style>
  <w:style w:type="character" w:customStyle="1" w:styleId="Heading2Char">
    <w:name w:val="Heading 2 Char"/>
    <w:basedOn w:val="DefaultParagraphFont"/>
    <w:link w:val="Heading2"/>
    <w:rsid w:val="00424C1D"/>
    <w:rPr>
      <w:rFonts w:ascii="Cambria" w:eastAsia="WenQuanYi Micro Hei" w:hAnsi="Cambria" w:cs="Calibri"/>
      <w:b/>
      <w:bCs/>
      <w:color w:val="4F81BD"/>
      <w:sz w:val="26"/>
      <w:szCs w:val="26"/>
    </w:rPr>
  </w:style>
  <w:style w:type="character" w:customStyle="1" w:styleId="Heading3Char">
    <w:name w:val="Heading 3 Char"/>
    <w:basedOn w:val="DefaultParagraphFont"/>
    <w:link w:val="Heading3"/>
    <w:rsid w:val="00424C1D"/>
    <w:rPr>
      <w:rFonts w:ascii="Cambria" w:eastAsia="WenQuanYi Micro Hei" w:hAnsi="Cambria" w:cs="Calibri"/>
      <w:b/>
      <w:bCs/>
      <w:color w:val="4F81BD"/>
    </w:rPr>
  </w:style>
  <w:style w:type="character" w:customStyle="1" w:styleId="Heading4Char">
    <w:name w:val="Heading 4 Char"/>
    <w:basedOn w:val="DefaultParagraphFont"/>
    <w:link w:val="Heading4"/>
    <w:uiPriority w:val="9"/>
    <w:rsid w:val="00424C1D"/>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rsid w:val="00424C1D"/>
    <w:rPr>
      <w:rFonts w:ascii="Tahoma" w:hAnsi="Tahoma" w:cs="Tahoma"/>
      <w:sz w:val="16"/>
      <w:szCs w:val="16"/>
    </w:rPr>
  </w:style>
  <w:style w:type="character" w:customStyle="1" w:styleId="ListLabel1">
    <w:name w:val="ListLabel 1"/>
    <w:rsid w:val="00424C1D"/>
    <w:rPr>
      <w:rFonts w:cs="Courier New"/>
    </w:rPr>
  </w:style>
  <w:style w:type="character" w:customStyle="1" w:styleId="ListLabel2">
    <w:name w:val="ListLabel 2"/>
    <w:rsid w:val="00424C1D"/>
    <w:rPr>
      <w:rFonts w:cs="OpenSymbol"/>
    </w:rPr>
  </w:style>
  <w:style w:type="character" w:customStyle="1" w:styleId="ListLabel3">
    <w:name w:val="ListLabel 3"/>
    <w:rsid w:val="00424C1D"/>
    <w:rPr>
      <w:rFonts w:cs="Calibri"/>
    </w:rPr>
  </w:style>
  <w:style w:type="character" w:customStyle="1" w:styleId="Bullets">
    <w:name w:val="Bullets"/>
    <w:rsid w:val="00424C1D"/>
    <w:rPr>
      <w:rFonts w:ascii="OpenSymbol" w:eastAsia="OpenSymbol" w:hAnsi="OpenSymbol" w:cs="OpenSymbol"/>
    </w:rPr>
  </w:style>
  <w:style w:type="character" w:customStyle="1" w:styleId="ListLabel4">
    <w:name w:val="ListLabel 4"/>
    <w:rsid w:val="00424C1D"/>
    <w:rPr>
      <w:rFonts w:cs="Symbol"/>
    </w:rPr>
  </w:style>
  <w:style w:type="character" w:customStyle="1" w:styleId="ListLabel5">
    <w:name w:val="ListLabel 5"/>
    <w:rsid w:val="00424C1D"/>
    <w:rPr>
      <w:rFonts w:cs="Courier New"/>
    </w:rPr>
  </w:style>
  <w:style w:type="character" w:customStyle="1" w:styleId="ListLabel6">
    <w:name w:val="ListLabel 6"/>
    <w:rsid w:val="00424C1D"/>
    <w:rPr>
      <w:rFonts w:cs="Wingdings"/>
    </w:rPr>
  </w:style>
  <w:style w:type="character" w:customStyle="1" w:styleId="ListLabel7">
    <w:name w:val="ListLabel 7"/>
    <w:rsid w:val="00424C1D"/>
    <w:rPr>
      <w:rFonts w:cs="OpenSymbol"/>
    </w:rPr>
  </w:style>
  <w:style w:type="character" w:customStyle="1" w:styleId="ListLabel8">
    <w:name w:val="ListLabel 8"/>
    <w:rsid w:val="00424C1D"/>
    <w:rPr>
      <w:rFonts w:cs="Symbol"/>
    </w:rPr>
  </w:style>
  <w:style w:type="character" w:customStyle="1" w:styleId="ListLabel9">
    <w:name w:val="ListLabel 9"/>
    <w:rsid w:val="00424C1D"/>
    <w:rPr>
      <w:rFonts w:cs="Courier New"/>
    </w:rPr>
  </w:style>
  <w:style w:type="character" w:customStyle="1" w:styleId="ListLabel10">
    <w:name w:val="ListLabel 10"/>
    <w:rsid w:val="00424C1D"/>
    <w:rPr>
      <w:rFonts w:cs="Wingdings"/>
    </w:rPr>
  </w:style>
  <w:style w:type="character" w:customStyle="1" w:styleId="ListLabel11">
    <w:name w:val="ListLabel 11"/>
    <w:rsid w:val="00424C1D"/>
    <w:rPr>
      <w:rFonts w:cs="OpenSymbol"/>
    </w:rPr>
  </w:style>
  <w:style w:type="character" w:customStyle="1" w:styleId="ListLabel12">
    <w:name w:val="ListLabel 12"/>
    <w:rsid w:val="00424C1D"/>
    <w:rPr>
      <w:rFonts w:cs="Symbol"/>
    </w:rPr>
  </w:style>
  <w:style w:type="character" w:customStyle="1" w:styleId="ListLabel13">
    <w:name w:val="ListLabel 13"/>
    <w:rsid w:val="00424C1D"/>
    <w:rPr>
      <w:rFonts w:cs="Courier New"/>
    </w:rPr>
  </w:style>
  <w:style w:type="character" w:customStyle="1" w:styleId="ListLabel14">
    <w:name w:val="ListLabel 14"/>
    <w:rsid w:val="00424C1D"/>
    <w:rPr>
      <w:rFonts w:cs="Wingdings"/>
    </w:rPr>
  </w:style>
  <w:style w:type="character" w:customStyle="1" w:styleId="ListLabel15">
    <w:name w:val="ListLabel 15"/>
    <w:rsid w:val="00424C1D"/>
    <w:rPr>
      <w:rFonts w:cs="OpenSymbol"/>
    </w:rPr>
  </w:style>
  <w:style w:type="paragraph" w:customStyle="1" w:styleId="Heading">
    <w:name w:val="Heading"/>
    <w:basedOn w:val="Normal"/>
    <w:next w:val="Textbody"/>
    <w:rsid w:val="00424C1D"/>
    <w:pPr>
      <w:keepNext/>
      <w:spacing w:before="240" w:after="120"/>
    </w:pPr>
    <w:rPr>
      <w:rFonts w:ascii="Liberation Sans" w:hAnsi="Liberation Sans" w:cs="Lohit Hindi"/>
      <w:sz w:val="28"/>
      <w:szCs w:val="28"/>
    </w:rPr>
  </w:style>
  <w:style w:type="paragraph" w:customStyle="1" w:styleId="Textbody">
    <w:name w:val="Text body"/>
    <w:basedOn w:val="Normal"/>
    <w:rsid w:val="00424C1D"/>
    <w:pPr>
      <w:spacing w:after="120"/>
    </w:pPr>
  </w:style>
  <w:style w:type="paragraph" w:styleId="List">
    <w:name w:val="List"/>
    <w:basedOn w:val="Textbody"/>
    <w:rsid w:val="00424C1D"/>
    <w:rPr>
      <w:rFonts w:cs="Lohit Hindi"/>
    </w:rPr>
  </w:style>
  <w:style w:type="paragraph" w:styleId="Caption">
    <w:name w:val="caption"/>
    <w:basedOn w:val="Normal"/>
    <w:rsid w:val="00424C1D"/>
    <w:pPr>
      <w:suppressLineNumbers/>
      <w:spacing w:before="120" w:after="120"/>
    </w:pPr>
    <w:rPr>
      <w:rFonts w:cs="Lohit Hindi"/>
      <w:i/>
      <w:iCs/>
      <w:sz w:val="24"/>
      <w:szCs w:val="24"/>
    </w:rPr>
  </w:style>
  <w:style w:type="paragraph" w:customStyle="1" w:styleId="Index">
    <w:name w:val="Index"/>
    <w:basedOn w:val="Normal"/>
    <w:rsid w:val="00424C1D"/>
    <w:pPr>
      <w:suppressLineNumbers/>
    </w:pPr>
    <w:rPr>
      <w:rFonts w:cs="Lohit Hindi"/>
    </w:rPr>
  </w:style>
  <w:style w:type="paragraph" w:styleId="ListParagraph">
    <w:name w:val="List Paragraph"/>
    <w:basedOn w:val="Normal"/>
    <w:uiPriority w:val="34"/>
    <w:qFormat/>
    <w:rsid w:val="00424C1D"/>
    <w:pPr>
      <w:ind w:left="720"/>
    </w:pPr>
  </w:style>
  <w:style w:type="paragraph" w:styleId="NormalWeb">
    <w:name w:val="Normal (Web)"/>
    <w:basedOn w:val="Normal"/>
    <w:uiPriority w:val="99"/>
    <w:rsid w:val="00424C1D"/>
    <w:pPr>
      <w:spacing w:before="28" w:after="28" w:line="100" w:lineRule="atLeast"/>
    </w:pPr>
    <w:rPr>
      <w:rFonts w:ascii="Times New Roman" w:hAnsi="Times New Roman" w:cs="Times New Roman"/>
      <w:sz w:val="24"/>
      <w:szCs w:val="24"/>
      <w:lang w:eastAsia="zh-CN"/>
    </w:rPr>
  </w:style>
  <w:style w:type="paragraph" w:styleId="BalloonText">
    <w:name w:val="Balloon Text"/>
    <w:basedOn w:val="Normal"/>
    <w:link w:val="BalloonTextChar1"/>
    <w:rsid w:val="00424C1D"/>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424C1D"/>
    <w:rPr>
      <w:rFonts w:ascii="Tahoma" w:eastAsia="WenQuanYi Micro Hei" w:hAnsi="Tahoma" w:cs="Tahoma"/>
      <w:color w:val="00000A"/>
      <w:sz w:val="16"/>
      <w:szCs w:val="16"/>
    </w:rPr>
  </w:style>
  <w:style w:type="paragraph" w:customStyle="1" w:styleId="TableContents">
    <w:name w:val="Table Contents"/>
    <w:basedOn w:val="Normal"/>
    <w:rsid w:val="00424C1D"/>
    <w:pPr>
      <w:suppressLineNumbers/>
    </w:pPr>
  </w:style>
  <w:style w:type="paragraph" w:customStyle="1" w:styleId="TableHeading">
    <w:name w:val="Table Heading"/>
    <w:basedOn w:val="TableContents"/>
    <w:rsid w:val="00424C1D"/>
    <w:pPr>
      <w:jc w:val="center"/>
    </w:pPr>
    <w:rPr>
      <w:b/>
      <w:bCs/>
    </w:rPr>
  </w:style>
  <w:style w:type="table" w:styleId="TableGrid">
    <w:name w:val="Table Grid"/>
    <w:basedOn w:val="TableNormal"/>
    <w:uiPriority w:val="59"/>
    <w:rsid w:val="00424C1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4C1D"/>
    <w:rPr>
      <w:sz w:val="16"/>
      <w:szCs w:val="16"/>
    </w:rPr>
  </w:style>
  <w:style w:type="paragraph" w:styleId="CommentText">
    <w:name w:val="annotation text"/>
    <w:basedOn w:val="Normal"/>
    <w:link w:val="CommentTextChar"/>
    <w:uiPriority w:val="99"/>
    <w:unhideWhenUsed/>
    <w:rsid w:val="00424C1D"/>
    <w:pPr>
      <w:spacing w:line="240" w:lineRule="auto"/>
    </w:pPr>
    <w:rPr>
      <w:sz w:val="20"/>
      <w:szCs w:val="20"/>
    </w:rPr>
  </w:style>
  <w:style w:type="character" w:customStyle="1" w:styleId="CommentTextChar">
    <w:name w:val="Comment Text Char"/>
    <w:basedOn w:val="DefaultParagraphFont"/>
    <w:link w:val="CommentText"/>
    <w:uiPriority w:val="99"/>
    <w:rsid w:val="00424C1D"/>
    <w:rPr>
      <w:rFonts w:ascii="Calibri" w:eastAsia="WenQuanYi Micro Hei" w:hAnsi="Calibri" w:cs="Calibri"/>
      <w:color w:val="00000A"/>
      <w:sz w:val="20"/>
      <w:szCs w:val="20"/>
    </w:rPr>
  </w:style>
  <w:style w:type="paragraph" w:styleId="CommentSubject">
    <w:name w:val="annotation subject"/>
    <w:basedOn w:val="CommentText"/>
    <w:next w:val="CommentText"/>
    <w:link w:val="CommentSubjectChar"/>
    <w:uiPriority w:val="99"/>
    <w:semiHidden/>
    <w:unhideWhenUsed/>
    <w:rsid w:val="00424C1D"/>
    <w:rPr>
      <w:b/>
      <w:bCs/>
    </w:rPr>
  </w:style>
  <w:style w:type="character" w:customStyle="1" w:styleId="CommentSubjectChar">
    <w:name w:val="Comment Subject Char"/>
    <w:basedOn w:val="CommentTextChar"/>
    <w:link w:val="CommentSubject"/>
    <w:uiPriority w:val="99"/>
    <w:semiHidden/>
    <w:rsid w:val="00424C1D"/>
    <w:rPr>
      <w:rFonts w:ascii="Calibri" w:eastAsia="WenQuanYi Micro Hei" w:hAnsi="Calibri" w:cs="Calibri"/>
      <w:b/>
      <w:bCs/>
      <w:color w:val="00000A"/>
      <w:sz w:val="20"/>
      <w:szCs w:val="20"/>
    </w:rPr>
  </w:style>
  <w:style w:type="table" w:customStyle="1" w:styleId="TableGrid1">
    <w:name w:val="Table Grid1"/>
    <w:basedOn w:val="TableNormal"/>
    <w:next w:val="TableGrid"/>
    <w:uiPriority w:val="59"/>
    <w:rsid w:val="00424C1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4C1D"/>
    <w:pPr>
      <w:tabs>
        <w:tab w:val="left" w:pos="720"/>
      </w:tabs>
      <w:suppressAutoHyphens/>
      <w:spacing w:after="0" w:line="240" w:lineRule="auto"/>
    </w:pPr>
    <w:rPr>
      <w:rFonts w:ascii="Calibri" w:eastAsia="WenQuanYi Micro Hei" w:hAnsi="Calibri" w:cs="Calibri"/>
      <w:color w:val="00000A"/>
    </w:rPr>
  </w:style>
  <w:style w:type="paragraph" w:styleId="Header">
    <w:name w:val="header"/>
    <w:basedOn w:val="Normal"/>
    <w:link w:val="HeaderChar"/>
    <w:uiPriority w:val="99"/>
    <w:unhideWhenUsed/>
    <w:rsid w:val="00424C1D"/>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424C1D"/>
    <w:rPr>
      <w:rFonts w:ascii="Calibri" w:eastAsia="WenQuanYi Micro Hei" w:hAnsi="Calibri" w:cs="Calibri"/>
      <w:color w:val="00000A"/>
    </w:rPr>
  </w:style>
  <w:style w:type="paragraph" w:styleId="Footer">
    <w:name w:val="footer"/>
    <w:basedOn w:val="Normal"/>
    <w:link w:val="FooterChar"/>
    <w:uiPriority w:val="99"/>
    <w:unhideWhenUsed/>
    <w:rsid w:val="00424C1D"/>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424C1D"/>
    <w:rPr>
      <w:rFonts w:ascii="Calibri" w:eastAsia="WenQuanYi Micro Hei" w:hAnsi="Calibri" w:cs="Calibri"/>
      <w:color w:val="00000A"/>
    </w:rPr>
  </w:style>
  <w:style w:type="paragraph" w:styleId="Title">
    <w:name w:val="Title"/>
    <w:basedOn w:val="Normal"/>
    <w:next w:val="Normal"/>
    <w:link w:val="TitleChar"/>
    <w:uiPriority w:val="10"/>
    <w:qFormat/>
    <w:rsid w:val="00424C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C1D"/>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3A4FFE"/>
    <w:rPr>
      <w:rFonts w:asciiTheme="majorHAnsi" w:eastAsiaTheme="majorEastAsia" w:hAnsiTheme="majorHAnsi" w:cstheme="majorBidi"/>
      <w:color w:val="243F60" w:themeColor="accent1" w:themeShade="7F"/>
    </w:rPr>
  </w:style>
  <w:style w:type="paragraph" w:customStyle="1" w:styleId="Default">
    <w:name w:val="Default"/>
    <w:rsid w:val="0048343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60D59"/>
    <w:pPr>
      <w:spacing w:after="0" w:line="240" w:lineRule="auto"/>
    </w:pPr>
    <w:rPr>
      <w:rFonts w:ascii="Calibri" w:eastAsia="WenQuanYi Micro He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19404">
      <w:bodyDiv w:val="1"/>
      <w:marLeft w:val="0"/>
      <w:marRight w:val="0"/>
      <w:marTop w:val="0"/>
      <w:marBottom w:val="0"/>
      <w:divBdr>
        <w:top w:val="none" w:sz="0" w:space="0" w:color="auto"/>
        <w:left w:val="none" w:sz="0" w:space="0" w:color="auto"/>
        <w:bottom w:val="none" w:sz="0" w:space="0" w:color="auto"/>
        <w:right w:val="none" w:sz="0" w:space="0" w:color="auto"/>
      </w:divBdr>
    </w:div>
    <w:div w:id="18566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oleObject" Target="embeddings/oleObject5.bin"/><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518E74E32B948A9667C5D223BD407" ma:contentTypeVersion="1" ma:contentTypeDescription="Create a new document." ma:contentTypeScope="" ma:versionID="627cf8facbe9acae9aa447a791f25dab">
  <xsd:schema xmlns:xsd="http://www.w3.org/2001/XMLSchema" xmlns:xs="http://www.w3.org/2001/XMLSchema" xmlns:p="http://schemas.microsoft.com/office/2006/metadata/properties" xmlns:ns3="1be4742e-89e7-4d16-a19f-e961b748fbcf" targetNamespace="http://schemas.microsoft.com/office/2006/metadata/properties" ma:root="true" ma:fieldsID="db4e01b16b836c60d918389ed7901ece" ns3:_="">
    <xsd:import namespace="1be4742e-89e7-4d16-a19f-e961b748fbc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742e-89e7-4d16-a19f-e961b748fb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00D76-7B1F-4D97-B0C4-6080B0B2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742e-89e7-4d16-a19f-e961b748f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246B9-B8BF-42E3-BBCC-A42BE3135CA4}">
  <ds:schemaRefs>
    <ds:schemaRef ds:uri="http://purl.org/dc/terms/"/>
    <ds:schemaRef ds:uri="http://schemas.microsoft.com/office/infopath/2007/PartnerControls"/>
    <ds:schemaRef ds:uri="http://purl.org/dc/dcmitype/"/>
    <ds:schemaRef ds:uri="1be4742e-89e7-4d16-a19f-e961b748fbcf"/>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ED4141-1A88-4BA7-81D5-B23E00F8B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10867</Words>
  <Characters>61943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Weir</dc:creator>
  <cp:lastModifiedBy>WEIR Anthony</cp:lastModifiedBy>
  <cp:revision>4</cp:revision>
  <dcterms:created xsi:type="dcterms:W3CDTF">2015-02-25T12:44:00Z</dcterms:created>
  <dcterms:modified xsi:type="dcterms:W3CDTF">2015-02-25T12:52:00Z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0x010100756518E74E32B948A9667C5D223BD407</vt:lpwstr>
  </property>
</Properties>
</file>