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E6" w:rsidRDefault="00D218E6" w:rsidP="00D218E6">
      <w:pPr>
        <w:pStyle w:val="Heading5"/>
      </w:pPr>
      <w:r>
        <w:t>(Date)</w:t>
      </w:r>
    </w:p>
    <w:p w:rsidR="00D218E6" w:rsidRDefault="00D218E6" w:rsidP="00D218E6">
      <w:pPr>
        <w:pStyle w:val="Heading1"/>
        <w:numPr>
          <w:ilvl w:val="0"/>
          <w:numId w:val="3"/>
        </w:numPr>
      </w:pPr>
      <w:r>
        <w:t xml:space="preserve">County Child Health Notes  </w:t>
      </w:r>
    </w:p>
    <w:p w:rsidR="00D218E6" w:rsidRDefault="00D218E6" w:rsidP="00D218E6">
      <w:pPr>
        <w:pStyle w:val="BodyText"/>
        <w:ind w:right="-1800"/>
      </w:pPr>
      <w:r>
        <w:t>Promoting early identification and partnerships between families, primary health care providers &amp; the community.</w:t>
      </w:r>
    </w:p>
    <w:p w:rsidR="00D218E6" w:rsidRDefault="002663C9" w:rsidP="00D218E6">
      <w:pPr>
        <w:pStyle w:val="BodyText"/>
        <w:ind w:right="-1620"/>
      </w:pPr>
      <w:r>
        <w:rPr>
          <w:noProof/>
        </w:rPr>
        <w:pict>
          <v:line id="Line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6.85pt" to="509.4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" strokeweight="3pt">
            <v:stroke linestyle="thinThin"/>
          </v:line>
        </w:pict>
      </w:r>
    </w:p>
    <w:p w:rsidR="00D218E6" w:rsidRDefault="00D218E6" w:rsidP="00D218E6">
      <w:pPr>
        <w:rPr>
          <w:sz w:val="18"/>
        </w:rPr>
      </w:pPr>
      <w:r>
        <w:rPr>
          <w:rFonts w:ascii="Arial" w:hAnsi="Arial" w:cs="Arial"/>
          <w:sz w:val="18"/>
        </w:rPr>
        <w:t>Distributed by</w:t>
      </w:r>
      <w:r>
        <w:rPr>
          <w:sz w:val="18"/>
        </w:rPr>
        <w:t>: (2)</w:t>
      </w:r>
    </w:p>
    <w:p w:rsidR="00D218E6" w:rsidRDefault="00D218E6" w:rsidP="00D218E6">
      <w:pPr>
        <w:ind w:right="-360"/>
        <w:rPr>
          <w:sz w:val="18"/>
        </w:rPr>
      </w:pPr>
      <w:r>
        <w:rPr>
          <w:rFonts w:ascii="Arial" w:hAnsi="Arial" w:cs="Arial"/>
          <w:sz w:val="18"/>
        </w:rPr>
        <w:t>Contributors:</w:t>
      </w:r>
      <w:r>
        <w:rPr>
          <w:sz w:val="18"/>
        </w:rPr>
        <w:t xml:space="preserve"> Washington State Department of Health and U</w:t>
      </w:r>
      <w:r w:rsidR="00E102A4">
        <w:rPr>
          <w:sz w:val="18"/>
        </w:rPr>
        <w:t xml:space="preserve">niversity of </w:t>
      </w:r>
      <w:r>
        <w:rPr>
          <w:sz w:val="18"/>
        </w:rPr>
        <w:t>W</w:t>
      </w:r>
      <w:r w:rsidR="00E102A4">
        <w:rPr>
          <w:sz w:val="18"/>
        </w:rPr>
        <w:t>ashington</w:t>
      </w:r>
      <w:r>
        <w:rPr>
          <w:sz w:val="18"/>
        </w:rPr>
        <w:t xml:space="preserve"> – Center on Human Development &amp; Disability</w:t>
      </w:r>
    </w:p>
    <w:p w:rsidR="00D218E6" w:rsidRDefault="00D218E6" w:rsidP="00D218E6">
      <w:pPr>
        <w:ind w:right="-360"/>
        <w:rPr>
          <w:sz w:val="18"/>
        </w:rPr>
      </w:pPr>
      <w:r>
        <w:rPr>
          <w:sz w:val="18"/>
        </w:rPr>
        <w:t>Written by Anne M. Leavitt, MD</w:t>
      </w:r>
      <w:r w:rsidR="007804F7">
        <w:rPr>
          <w:sz w:val="18"/>
        </w:rPr>
        <w:t>,</w:t>
      </w:r>
      <w:r>
        <w:rPr>
          <w:sz w:val="18"/>
        </w:rPr>
        <w:t xml:space="preserve"> </w:t>
      </w:r>
      <w:r w:rsidR="002C39FD" w:rsidRPr="002C39FD">
        <w:rPr>
          <w:sz w:val="18"/>
        </w:rPr>
        <w:t xml:space="preserve">reviewed by </w:t>
      </w:r>
      <w:r w:rsidR="00073142">
        <w:rPr>
          <w:sz w:val="18"/>
        </w:rPr>
        <w:t xml:space="preserve">Sharon Feucht, MA, RD and </w:t>
      </w:r>
      <w:r>
        <w:rPr>
          <w:sz w:val="18"/>
        </w:rPr>
        <w:t>Beth Ogata, MS, RD</w:t>
      </w:r>
    </w:p>
    <w:p w:rsidR="00D218E6" w:rsidRDefault="00D218E6" w:rsidP="00D218E6">
      <w:pPr>
        <w:rPr>
          <w:rFonts w:ascii="Arial" w:hAnsi="Arial"/>
          <w:noProof/>
          <w:sz w:val="18"/>
        </w:rPr>
      </w:pPr>
    </w:p>
    <w:tbl>
      <w:tblPr>
        <w:tblW w:w="10728" w:type="dxa"/>
        <w:tblLayout w:type="fixed"/>
        <w:tblLook w:val="0000" w:firstRow="0" w:lastRow="0" w:firstColumn="0" w:lastColumn="0" w:noHBand="0" w:noVBand="0"/>
      </w:tblPr>
      <w:tblGrid>
        <w:gridCol w:w="10728"/>
      </w:tblGrid>
      <w:tr w:rsidR="00D218E6" w:rsidTr="005E1437">
        <w:trPr>
          <w:cantSplit/>
          <w:trHeight w:val="2775"/>
        </w:trPr>
        <w:tc>
          <w:tcPr>
            <w:tcW w:w="10728" w:type="dxa"/>
          </w:tcPr>
          <w:p w:rsidR="00D218E6" w:rsidRPr="00976C4C" w:rsidRDefault="00D218E6" w:rsidP="00976C4C">
            <w:pPr>
              <w:spacing w:after="60"/>
              <w:jc w:val="center"/>
              <w:rPr>
                <w:b/>
                <w:sz w:val="28"/>
                <w:szCs w:val="28"/>
              </w:rPr>
            </w:pPr>
            <w:r w:rsidRPr="00976C4C">
              <w:rPr>
                <w:b/>
                <w:sz w:val="28"/>
                <w:szCs w:val="28"/>
              </w:rPr>
              <w:t>GROWTH CHARTS</w:t>
            </w:r>
          </w:p>
          <w:p w:rsidR="00C3062E" w:rsidRDefault="00D218E6" w:rsidP="00D218E6">
            <w:pPr>
              <w:spacing w:after="60"/>
              <w:rPr>
                <w:sz w:val="22"/>
                <w:szCs w:val="22"/>
              </w:rPr>
            </w:pPr>
            <w:r w:rsidRPr="00D218E6">
              <w:rPr>
                <w:sz w:val="22"/>
                <w:szCs w:val="22"/>
              </w:rPr>
              <w:t>Accurate assessment of growth in childhood is an essential part of well child care. Pediatric providers need to be familiar with the standard growth charts that are available, how they are meant to be used, and how they have changed over the last few years.</w:t>
            </w:r>
            <w:r w:rsidR="00C3062E">
              <w:rPr>
                <w:sz w:val="22"/>
                <w:szCs w:val="22"/>
              </w:rPr>
              <w:t xml:space="preserve"> </w:t>
            </w:r>
            <w:r w:rsidRPr="00D218E6">
              <w:rPr>
                <w:sz w:val="22"/>
                <w:szCs w:val="22"/>
              </w:rPr>
              <w:t xml:space="preserve">In 2006, an expert panel was convened by The Centers for Disease Control and Prevention (CDC), the National Institutes of Health (NIH), and the American Academy of Pediatrics (AAP). </w:t>
            </w:r>
          </w:p>
          <w:p w:rsidR="00D218E6" w:rsidRPr="00C3062E" w:rsidRDefault="00D218E6" w:rsidP="00D218E6">
            <w:pPr>
              <w:spacing w:after="60"/>
              <w:rPr>
                <w:sz w:val="22"/>
                <w:szCs w:val="22"/>
              </w:rPr>
            </w:pPr>
            <w:r w:rsidRPr="00D218E6">
              <w:rPr>
                <w:sz w:val="22"/>
                <w:szCs w:val="22"/>
              </w:rPr>
              <w:t xml:space="preserve">On the basis of this input, </w:t>
            </w:r>
            <w:r w:rsidRPr="00D218E6">
              <w:rPr>
                <w:b/>
                <w:sz w:val="22"/>
                <w:szCs w:val="22"/>
              </w:rPr>
              <w:t>CDC and AAP recommend that clinicians:</w:t>
            </w:r>
          </w:p>
          <w:p w:rsidR="00D218E6" w:rsidRPr="00C3062E" w:rsidRDefault="006A35F7" w:rsidP="00C3062E">
            <w:pPr>
              <w:tabs>
                <w:tab w:val="left" w:pos="360"/>
              </w:tabs>
              <w:spacing w:after="60"/>
              <w:rPr>
                <w:b/>
                <w:sz w:val="22"/>
                <w:szCs w:val="22"/>
              </w:r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-1054735</wp:posOffset>
                  </wp:positionV>
                  <wp:extent cx="968375" cy="1138555"/>
                  <wp:effectExtent l="0" t="0" r="3175" b="4445"/>
                  <wp:wrapSquare wrapText="bothSides"/>
                  <wp:docPr id="3" name="Picture 3" descr="E:\CHN\measurement-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N\measurement-graph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8375" cy="1138555"/>
                          </a:xfrm>
                          <a:prstGeom prst="rect">
                            <a:avLst/>
                          </a:prstGeom>
                          <a:noFill/>
                          <a:ln>
                            <a:noFill/>
                          </a:ln>
                        </pic:spPr>
                      </pic:pic>
                    </a:graphicData>
                  </a:graphic>
                </wp:anchor>
              </w:drawing>
            </w:r>
            <w:r w:rsidR="00C3062E" w:rsidRPr="00C3062E">
              <w:rPr>
                <w:rFonts w:ascii="Wingdings" w:hAnsi="Wingdings" w:cs="Wingdings"/>
                <w:sz w:val="20"/>
                <w:szCs w:val="20"/>
                <w:lang w:eastAsia="ja-JP"/>
              </w:rPr>
              <w:t></w:t>
            </w:r>
            <w:r w:rsidR="00C3062E" w:rsidRPr="00C3062E">
              <w:rPr>
                <w:rFonts w:ascii="Wingdings" w:hAnsi="Wingdings" w:cs="Wingdings"/>
                <w:sz w:val="20"/>
                <w:szCs w:val="20"/>
                <w:lang w:eastAsia="ja-JP"/>
              </w:rPr>
              <w:t></w:t>
            </w:r>
            <w:r w:rsidR="00D218E6" w:rsidRPr="00C3062E">
              <w:rPr>
                <w:b/>
                <w:sz w:val="22"/>
                <w:szCs w:val="22"/>
              </w:rPr>
              <w:t xml:space="preserve">Use the 2006 WHO international growth </w:t>
            </w:r>
            <w:r w:rsidR="00D218E6" w:rsidRPr="00C3062E">
              <w:rPr>
                <w:b/>
                <w:i/>
                <w:sz w:val="22"/>
                <w:szCs w:val="22"/>
              </w:rPr>
              <w:t>standard</w:t>
            </w:r>
            <w:r w:rsidR="00D218E6" w:rsidRPr="00C3062E">
              <w:rPr>
                <w:b/>
                <w:sz w:val="22"/>
                <w:szCs w:val="22"/>
              </w:rPr>
              <w:t xml:space="preserve"> charts, rather than the 2000 CDC growth</w:t>
            </w:r>
            <w:r w:rsidR="00C3062E">
              <w:rPr>
                <w:b/>
                <w:sz w:val="22"/>
                <w:szCs w:val="22"/>
              </w:rPr>
              <w:br/>
            </w:r>
            <w:r w:rsidR="00C3062E">
              <w:rPr>
                <w:b/>
                <w:i/>
                <w:sz w:val="22"/>
                <w:szCs w:val="22"/>
              </w:rPr>
              <w:tab/>
            </w:r>
            <w:r w:rsidR="00D218E6" w:rsidRPr="00C3062E">
              <w:rPr>
                <w:b/>
                <w:i/>
                <w:sz w:val="22"/>
                <w:szCs w:val="22"/>
              </w:rPr>
              <w:t>reference</w:t>
            </w:r>
            <w:r w:rsidR="00A16382">
              <w:rPr>
                <w:b/>
                <w:sz w:val="22"/>
                <w:szCs w:val="22"/>
              </w:rPr>
              <w:t xml:space="preserve"> charts, for children aged </w:t>
            </w:r>
            <w:r w:rsidR="00D218E6" w:rsidRPr="00C3062E">
              <w:rPr>
                <w:b/>
                <w:sz w:val="22"/>
                <w:szCs w:val="22"/>
              </w:rPr>
              <w:t>&lt;24 months.</w:t>
            </w:r>
          </w:p>
          <w:p w:rsidR="00D218E6" w:rsidRPr="00D218E6" w:rsidRDefault="00C3062E" w:rsidP="00694615">
            <w:pPr>
              <w:tabs>
                <w:tab w:val="left" w:pos="2610"/>
              </w:tabs>
              <w:spacing w:after="120"/>
              <w:rPr>
                <w:b/>
              </w:rPr>
            </w:pPr>
            <w:r w:rsidRPr="00C3062E">
              <w:rPr>
                <w:rFonts w:ascii="Wingdings" w:hAnsi="Wingdings" w:cs="Wingdings"/>
                <w:sz w:val="20"/>
                <w:szCs w:val="20"/>
                <w:lang w:eastAsia="ja-JP"/>
              </w:rPr>
              <w:t></w:t>
            </w:r>
            <w:r w:rsidRPr="00C3062E">
              <w:rPr>
                <w:rFonts w:ascii="Wingdings" w:hAnsi="Wingdings" w:cs="Wingdings"/>
                <w:sz w:val="20"/>
                <w:szCs w:val="20"/>
                <w:lang w:eastAsia="ja-JP"/>
              </w:rPr>
              <w:t></w:t>
            </w:r>
            <w:r w:rsidR="00D218E6" w:rsidRPr="00C3062E">
              <w:rPr>
                <w:b/>
                <w:sz w:val="22"/>
                <w:szCs w:val="22"/>
              </w:rPr>
              <w:t xml:space="preserve">Use the 2000 CDC growth </w:t>
            </w:r>
            <w:r w:rsidR="00D218E6" w:rsidRPr="00C3062E">
              <w:rPr>
                <w:b/>
                <w:i/>
                <w:sz w:val="22"/>
                <w:szCs w:val="22"/>
              </w:rPr>
              <w:t>reference</w:t>
            </w:r>
            <w:r w:rsidR="00D218E6" w:rsidRPr="00C3062E">
              <w:rPr>
                <w:b/>
                <w:sz w:val="22"/>
                <w:szCs w:val="22"/>
              </w:rPr>
              <w:t xml:space="preserve"> charts for children age</w:t>
            </w:r>
            <w:r w:rsidR="00073142">
              <w:rPr>
                <w:b/>
                <w:sz w:val="22"/>
                <w:szCs w:val="22"/>
              </w:rPr>
              <w:t>s</w:t>
            </w:r>
            <w:r w:rsidR="00D218E6" w:rsidRPr="00C3062E">
              <w:rPr>
                <w:b/>
                <w:sz w:val="22"/>
                <w:szCs w:val="22"/>
              </w:rPr>
              <w:t xml:space="preserve"> 2</w:t>
            </w:r>
            <w:r w:rsidR="00694615">
              <w:rPr>
                <w:b/>
                <w:sz w:val="22"/>
                <w:szCs w:val="22"/>
              </w:rPr>
              <w:t xml:space="preserve"> </w:t>
            </w:r>
            <w:r w:rsidR="00073142">
              <w:rPr>
                <w:b/>
                <w:sz w:val="22"/>
                <w:szCs w:val="22"/>
              </w:rPr>
              <w:t>to</w:t>
            </w:r>
            <w:r w:rsidR="00D218E6" w:rsidRPr="00C3062E">
              <w:rPr>
                <w:b/>
                <w:sz w:val="22"/>
                <w:szCs w:val="22"/>
              </w:rPr>
              <w:t xml:space="preserve"> 20 years.</w:t>
            </w:r>
          </w:p>
        </w:tc>
      </w:tr>
      <w:tr w:rsidR="00C3062E" w:rsidTr="005E1437">
        <w:trPr>
          <w:cantSplit/>
          <w:trHeight w:val="2670"/>
        </w:trPr>
        <w:tc>
          <w:tcPr>
            <w:tcW w:w="10728" w:type="dxa"/>
            <w:shd w:val="clear" w:color="auto" w:fill="DBE5F1" w:themeFill="accent1" w:themeFillTint="33"/>
          </w:tcPr>
          <w:p w:rsidR="00C3062E" w:rsidRPr="005553FA" w:rsidRDefault="00C3062E" w:rsidP="00EC091E">
            <w:pPr>
              <w:spacing w:before="120" w:after="120"/>
              <w:jc w:val="center"/>
              <w:rPr>
                <w:b/>
                <w:sz w:val="28"/>
                <w:szCs w:val="28"/>
              </w:rPr>
            </w:pPr>
            <w:r w:rsidRPr="005553FA">
              <w:rPr>
                <w:b/>
                <w:sz w:val="28"/>
                <w:szCs w:val="28"/>
              </w:rPr>
              <w:t>WHO Growth Charts</w:t>
            </w:r>
          </w:p>
          <w:p w:rsidR="00C3062E" w:rsidRPr="00D218E6" w:rsidRDefault="00C3062E" w:rsidP="00D218E6">
            <w:pPr>
              <w:rPr>
                <w:b/>
              </w:rPr>
            </w:pPr>
            <w:r w:rsidRPr="00D218E6">
              <w:rPr>
                <w:sz w:val="22"/>
                <w:szCs w:val="22"/>
              </w:rPr>
              <w:t xml:space="preserve">In April 2006, the World Health Organization (WHO) released new international growth charts for children 0-59 months. Their data was obtained from the WHO MGRS (Multicentre Growth Reference Study), a study conducted from 1997-2003 in six sites: Brazil, Ghana, India, Norway, Oman and the US (California). </w:t>
            </w:r>
            <w:r w:rsidRPr="00A16382">
              <w:rPr>
                <w:b/>
                <w:sz w:val="22"/>
                <w:szCs w:val="22"/>
              </w:rPr>
              <w:t>This study obtained longitudinal data from birth to 24 months of age, in children who lived in conditions to promote optimal growth.</w:t>
            </w:r>
            <w:r w:rsidRPr="00D218E6">
              <w:rPr>
                <w:sz w:val="22"/>
                <w:szCs w:val="22"/>
              </w:rPr>
              <w:t xml:space="preserve"> Infants were exclusively breastfed until at least 4 months of age and were born at 37-42 weeks gestation. Exclusion criteria included maternal smoking, multiple births, and low socioeconomic status. </w:t>
            </w:r>
            <w:r w:rsidRPr="00A16382">
              <w:rPr>
                <w:sz w:val="22"/>
                <w:szCs w:val="22"/>
              </w:rPr>
              <w:t>A primary hypothesis of MGRS was that all young children have the potential to grow similarly, regardless of their ethnicity or place of birth, if they are in a healthy environment and receive adequate nutrition. It was found that the mean length measurements of children &lt; 24 months were virtually identical in the six countries.</w:t>
            </w:r>
          </w:p>
        </w:tc>
      </w:tr>
    </w:tbl>
    <w:p w:rsidR="00CB70A1" w:rsidRPr="00EC091E" w:rsidRDefault="00CB70A1" w:rsidP="00D218E6">
      <w:pPr>
        <w:spacing w:before="120" w:after="120"/>
        <w:jc w:val="center"/>
        <w:rPr>
          <w:b/>
          <w:sz w:val="28"/>
          <w:szCs w:val="28"/>
        </w:rPr>
      </w:pPr>
      <w:r w:rsidRPr="00EC091E">
        <w:rPr>
          <w:b/>
          <w:sz w:val="28"/>
          <w:szCs w:val="28"/>
        </w:rPr>
        <w:t xml:space="preserve">Comparison of </w:t>
      </w:r>
      <w:r w:rsidR="00315271" w:rsidRPr="00EC091E">
        <w:rPr>
          <w:b/>
          <w:sz w:val="28"/>
          <w:szCs w:val="28"/>
        </w:rPr>
        <w:t xml:space="preserve">CDC and </w:t>
      </w:r>
      <w:r w:rsidRPr="00EC091E">
        <w:rPr>
          <w:b/>
          <w:sz w:val="28"/>
          <w:szCs w:val="28"/>
        </w:rPr>
        <w:t>W</w:t>
      </w:r>
      <w:r w:rsidR="00315271" w:rsidRPr="00EC091E">
        <w:rPr>
          <w:b/>
          <w:sz w:val="28"/>
          <w:szCs w:val="28"/>
        </w:rPr>
        <w:t>HO</w:t>
      </w:r>
      <w:r w:rsidR="00650C9B" w:rsidRPr="00EC091E">
        <w:rPr>
          <w:b/>
          <w:sz w:val="28"/>
          <w:szCs w:val="28"/>
        </w:rPr>
        <w:t xml:space="preserve"> growth charts</w:t>
      </w:r>
    </w:p>
    <w:tbl>
      <w:tblPr>
        <w:tblStyle w:val="TableGrid"/>
        <w:tblW w:w="0" w:type="auto"/>
        <w:tblLook w:val="04A0" w:firstRow="1" w:lastRow="0" w:firstColumn="1" w:lastColumn="0" w:noHBand="0" w:noVBand="1"/>
      </w:tblPr>
      <w:tblGrid>
        <w:gridCol w:w="1638"/>
        <w:gridCol w:w="4590"/>
        <w:gridCol w:w="4500"/>
      </w:tblGrid>
      <w:tr w:rsidR="006D79BE" w:rsidTr="00A54D5A">
        <w:trPr>
          <w:trHeight w:val="375"/>
        </w:trPr>
        <w:tc>
          <w:tcPr>
            <w:tcW w:w="1638" w:type="dxa"/>
            <w:vAlign w:val="center"/>
          </w:tcPr>
          <w:p w:rsidR="006D79BE" w:rsidRPr="005553FA" w:rsidRDefault="006D79BE" w:rsidP="00243C24">
            <w:pPr>
              <w:rPr>
                <w:b/>
                <w:sz w:val="22"/>
                <w:szCs w:val="22"/>
              </w:rPr>
            </w:pPr>
          </w:p>
        </w:tc>
        <w:tc>
          <w:tcPr>
            <w:tcW w:w="4590" w:type="dxa"/>
            <w:vAlign w:val="center"/>
          </w:tcPr>
          <w:p w:rsidR="006D79BE" w:rsidRPr="00A16382" w:rsidRDefault="006D79BE" w:rsidP="00D218E6">
            <w:pPr>
              <w:jc w:val="center"/>
              <w:rPr>
                <w:b/>
                <w:sz w:val="22"/>
                <w:szCs w:val="22"/>
              </w:rPr>
            </w:pPr>
            <w:r w:rsidRPr="005553FA">
              <w:rPr>
                <w:b/>
                <w:sz w:val="22"/>
                <w:szCs w:val="22"/>
              </w:rPr>
              <w:t>2000 CDC</w:t>
            </w:r>
            <w:r w:rsidR="00A16382">
              <w:rPr>
                <w:b/>
                <w:sz w:val="22"/>
                <w:szCs w:val="22"/>
              </w:rPr>
              <w:t xml:space="preserve"> Growth Chart</w:t>
            </w:r>
          </w:p>
        </w:tc>
        <w:tc>
          <w:tcPr>
            <w:tcW w:w="4500" w:type="dxa"/>
            <w:vAlign w:val="center"/>
          </w:tcPr>
          <w:p w:rsidR="006D79BE" w:rsidRPr="00A16382" w:rsidRDefault="006D79BE" w:rsidP="00D218E6">
            <w:pPr>
              <w:jc w:val="center"/>
              <w:rPr>
                <w:b/>
                <w:sz w:val="22"/>
                <w:szCs w:val="22"/>
              </w:rPr>
            </w:pPr>
            <w:r w:rsidRPr="005553FA">
              <w:rPr>
                <w:b/>
                <w:sz w:val="22"/>
                <w:szCs w:val="22"/>
              </w:rPr>
              <w:t>2006 WHO</w:t>
            </w:r>
            <w:r w:rsidR="00A16382">
              <w:rPr>
                <w:b/>
                <w:sz w:val="22"/>
                <w:szCs w:val="22"/>
              </w:rPr>
              <w:t xml:space="preserve"> Growth Chart</w:t>
            </w:r>
          </w:p>
        </w:tc>
      </w:tr>
      <w:tr w:rsidR="006D79BE" w:rsidTr="00A54D5A">
        <w:trPr>
          <w:trHeight w:val="285"/>
        </w:trPr>
        <w:tc>
          <w:tcPr>
            <w:tcW w:w="1638" w:type="dxa"/>
            <w:vAlign w:val="center"/>
          </w:tcPr>
          <w:p w:rsidR="006D79BE" w:rsidRPr="005553FA" w:rsidRDefault="006D79BE" w:rsidP="00243C24">
            <w:pPr>
              <w:rPr>
                <w:b/>
                <w:sz w:val="22"/>
                <w:szCs w:val="22"/>
              </w:rPr>
            </w:pPr>
            <w:r w:rsidRPr="005553FA">
              <w:rPr>
                <w:b/>
                <w:sz w:val="22"/>
                <w:szCs w:val="22"/>
              </w:rPr>
              <w:t>Method</w:t>
            </w:r>
          </w:p>
        </w:tc>
        <w:tc>
          <w:tcPr>
            <w:tcW w:w="4590" w:type="dxa"/>
            <w:vAlign w:val="center"/>
          </w:tcPr>
          <w:p w:rsidR="006D79BE" w:rsidRPr="005553FA" w:rsidRDefault="00243C24" w:rsidP="00D218E6">
            <w:pPr>
              <w:spacing w:after="60"/>
              <w:ind w:left="346" w:hanging="360"/>
              <w:rPr>
                <w:b/>
                <w:sz w:val="22"/>
                <w:szCs w:val="22"/>
              </w:rPr>
            </w:pPr>
            <w:r w:rsidRPr="005553FA">
              <w:rPr>
                <w:sz w:val="22"/>
                <w:szCs w:val="22"/>
              </w:rPr>
              <w:t xml:space="preserve">population </w:t>
            </w:r>
            <w:r w:rsidRPr="005553FA">
              <w:rPr>
                <w:i/>
                <w:sz w:val="22"/>
                <w:szCs w:val="22"/>
              </w:rPr>
              <w:t>cross-section</w:t>
            </w:r>
            <w:r w:rsidRPr="005553FA">
              <w:rPr>
                <w:sz w:val="22"/>
                <w:szCs w:val="22"/>
              </w:rPr>
              <w:t xml:space="preserve"> measured at different ages</w:t>
            </w:r>
          </w:p>
        </w:tc>
        <w:tc>
          <w:tcPr>
            <w:tcW w:w="4500" w:type="dxa"/>
            <w:vAlign w:val="center"/>
          </w:tcPr>
          <w:p w:rsidR="006D79BE" w:rsidRPr="005553FA" w:rsidRDefault="00243C24" w:rsidP="00D218E6">
            <w:pPr>
              <w:spacing w:after="60"/>
              <w:ind w:left="346" w:hanging="360"/>
              <w:rPr>
                <w:b/>
                <w:sz w:val="22"/>
                <w:szCs w:val="22"/>
              </w:rPr>
            </w:pPr>
            <w:r w:rsidRPr="005553FA">
              <w:rPr>
                <w:i/>
                <w:sz w:val="22"/>
                <w:szCs w:val="22"/>
              </w:rPr>
              <w:t>longitudinal</w:t>
            </w:r>
            <w:r w:rsidRPr="005553FA">
              <w:rPr>
                <w:sz w:val="22"/>
                <w:szCs w:val="22"/>
              </w:rPr>
              <w:t xml:space="preserve"> measures of individual </w:t>
            </w:r>
            <w:r w:rsidR="006D79BE" w:rsidRPr="005553FA">
              <w:rPr>
                <w:sz w:val="22"/>
                <w:szCs w:val="22"/>
              </w:rPr>
              <w:t xml:space="preserve">children </w:t>
            </w:r>
          </w:p>
        </w:tc>
      </w:tr>
      <w:tr w:rsidR="006D79BE" w:rsidTr="00A54D5A">
        <w:trPr>
          <w:trHeight w:val="525"/>
        </w:trPr>
        <w:tc>
          <w:tcPr>
            <w:tcW w:w="1638" w:type="dxa"/>
            <w:vAlign w:val="center"/>
          </w:tcPr>
          <w:p w:rsidR="006D79BE" w:rsidRPr="005553FA" w:rsidRDefault="006D79BE" w:rsidP="00243C24">
            <w:pPr>
              <w:rPr>
                <w:b/>
                <w:sz w:val="22"/>
                <w:szCs w:val="22"/>
              </w:rPr>
            </w:pPr>
            <w:r w:rsidRPr="005553FA">
              <w:rPr>
                <w:b/>
                <w:sz w:val="22"/>
                <w:szCs w:val="22"/>
              </w:rPr>
              <w:t>Age Range</w:t>
            </w:r>
          </w:p>
        </w:tc>
        <w:tc>
          <w:tcPr>
            <w:tcW w:w="4590" w:type="dxa"/>
            <w:vAlign w:val="center"/>
          </w:tcPr>
          <w:p w:rsidR="006D79BE" w:rsidRPr="00B20409" w:rsidRDefault="006D79BE" w:rsidP="00243C24">
            <w:pPr>
              <w:ind w:left="342" w:hanging="360"/>
            </w:pPr>
            <w:r w:rsidRPr="005553FA">
              <w:rPr>
                <w:sz w:val="22"/>
                <w:szCs w:val="22"/>
              </w:rPr>
              <w:t>Birth to 3 years</w:t>
            </w:r>
          </w:p>
        </w:tc>
        <w:tc>
          <w:tcPr>
            <w:tcW w:w="4500" w:type="dxa"/>
            <w:vAlign w:val="center"/>
          </w:tcPr>
          <w:p w:rsidR="006D79BE" w:rsidRPr="005553FA" w:rsidRDefault="006D79BE" w:rsidP="00243C24">
            <w:pPr>
              <w:ind w:left="342" w:hanging="360"/>
              <w:rPr>
                <w:sz w:val="22"/>
                <w:szCs w:val="22"/>
              </w:rPr>
            </w:pPr>
            <w:r w:rsidRPr="005553FA">
              <w:rPr>
                <w:sz w:val="22"/>
                <w:szCs w:val="22"/>
              </w:rPr>
              <w:t>birth to 2 years</w:t>
            </w:r>
          </w:p>
        </w:tc>
      </w:tr>
      <w:tr w:rsidR="006D79BE" w:rsidTr="00A54D5A">
        <w:trPr>
          <w:trHeight w:val="675"/>
        </w:trPr>
        <w:tc>
          <w:tcPr>
            <w:tcW w:w="1638" w:type="dxa"/>
            <w:vAlign w:val="center"/>
          </w:tcPr>
          <w:p w:rsidR="006D79BE" w:rsidRPr="005553FA" w:rsidRDefault="006D79BE" w:rsidP="00243C24">
            <w:pPr>
              <w:rPr>
                <w:b/>
                <w:sz w:val="22"/>
                <w:szCs w:val="22"/>
              </w:rPr>
            </w:pPr>
            <w:r w:rsidRPr="005553FA">
              <w:rPr>
                <w:b/>
                <w:sz w:val="22"/>
                <w:szCs w:val="22"/>
              </w:rPr>
              <w:t>Cutoff Range</w:t>
            </w:r>
          </w:p>
        </w:tc>
        <w:tc>
          <w:tcPr>
            <w:tcW w:w="4590" w:type="dxa"/>
            <w:vAlign w:val="center"/>
          </w:tcPr>
          <w:p w:rsidR="006D79BE" w:rsidRPr="005553FA" w:rsidRDefault="006D79BE" w:rsidP="00243C24">
            <w:pPr>
              <w:ind w:left="342" w:hanging="360"/>
              <w:rPr>
                <w:sz w:val="22"/>
                <w:szCs w:val="22"/>
              </w:rPr>
            </w:pPr>
            <w:r w:rsidRPr="005553FA">
              <w:rPr>
                <w:sz w:val="22"/>
                <w:szCs w:val="22"/>
              </w:rPr>
              <w:t>5</w:t>
            </w:r>
            <w:r w:rsidRPr="005553FA">
              <w:rPr>
                <w:sz w:val="22"/>
                <w:szCs w:val="22"/>
                <w:vertAlign w:val="superscript"/>
              </w:rPr>
              <w:t>th</w:t>
            </w:r>
            <w:r w:rsidRPr="005553FA">
              <w:rPr>
                <w:sz w:val="22"/>
                <w:szCs w:val="22"/>
              </w:rPr>
              <w:t xml:space="preserve"> – 95</w:t>
            </w:r>
            <w:r w:rsidRPr="005553FA">
              <w:rPr>
                <w:sz w:val="22"/>
                <w:szCs w:val="22"/>
                <w:vertAlign w:val="superscript"/>
              </w:rPr>
              <w:t>th</w:t>
            </w:r>
            <w:r w:rsidRPr="005553FA">
              <w:rPr>
                <w:sz w:val="22"/>
                <w:szCs w:val="22"/>
              </w:rPr>
              <w:t xml:space="preserve"> percentiles </w:t>
            </w:r>
            <w:r w:rsidR="00243C24" w:rsidRPr="005553FA">
              <w:rPr>
                <w:sz w:val="22"/>
                <w:szCs w:val="22"/>
              </w:rPr>
              <w:br/>
            </w:r>
            <w:r w:rsidRPr="005553FA">
              <w:rPr>
                <w:sz w:val="22"/>
                <w:szCs w:val="22"/>
              </w:rPr>
              <w:t>(</w:t>
            </w:r>
            <w:r w:rsidR="00243C24" w:rsidRPr="005553FA">
              <w:rPr>
                <w:sz w:val="22"/>
                <w:szCs w:val="22"/>
              </w:rPr>
              <w:t xml:space="preserve">on the </w:t>
            </w:r>
            <w:r w:rsidRPr="005553FA">
              <w:rPr>
                <w:sz w:val="22"/>
                <w:szCs w:val="22"/>
              </w:rPr>
              <w:t>form commonly distributed)</w:t>
            </w:r>
          </w:p>
        </w:tc>
        <w:tc>
          <w:tcPr>
            <w:tcW w:w="4500" w:type="dxa"/>
            <w:vAlign w:val="center"/>
          </w:tcPr>
          <w:p w:rsidR="006D79BE" w:rsidRPr="005553FA" w:rsidRDefault="006D79BE" w:rsidP="00243C24">
            <w:pPr>
              <w:ind w:left="342" w:hanging="360"/>
              <w:rPr>
                <w:sz w:val="22"/>
                <w:szCs w:val="22"/>
              </w:rPr>
            </w:pPr>
            <w:r w:rsidRPr="005553FA">
              <w:rPr>
                <w:sz w:val="22"/>
                <w:szCs w:val="22"/>
              </w:rPr>
              <w:t>2</w:t>
            </w:r>
            <w:r w:rsidRPr="005553FA">
              <w:rPr>
                <w:sz w:val="22"/>
                <w:szCs w:val="22"/>
                <w:vertAlign w:val="superscript"/>
              </w:rPr>
              <w:t>nd</w:t>
            </w:r>
            <w:r w:rsidRPr="005553FA">
              <w:rPr>
                <w:sz w:val="22"/>
                <w:szCs w:val="22"/>
              </w:rPr>
              <w:t xml:space="preserve"> – 98</w:t>
            </w:r>
            <w:r w:rsidRPr="005553FA">
              <w:rPr>
                <w:sz w:val="22"/>
                <w:szCs w:val="22"/>
                <w:vertAlign w:val="superscript"/>
              </w:rPr>
              <w:t>th</w:t>
            </w:r>
            <w:r w:rsidRPr="005553FA">
              <w:rPr>
                <w:sz w:val="22"/>
                <w:szCs w:val="22"/>
              </w:rPr>
              <w:t xml:space="preserve"> percentiles</w:t>
            </w:r>
          </w:p>
        </w:tc>
      </w:tr>
      <w:tr w:rsidR="006D79BE" w:rsidTr="00A54D5A">
        <w:trPr>
          <w:trHeight w:val="855"/>
        </w:trPr>
        <w:tc>
          <w:tcPr>
            <w:tcW w:w="1638" w:type="dxa"/>
            <w:vAlign w:val="center"/>
          </w:tcPr>
          <w:p w:rsidR="006D79BE" w:rsidRPr="005553FA" w:rsidRDefault="006D79BE" w:rsidP="00243C24">
            <w:pPr>
              <w:rPr>
                <w:b/>
                <w:sz w:val="22"/>
                <w:szCs w:val="22"/>
              </w:rPr>
            </w:pPr>
            <w:r w:rsidRPr="005553FA">
              <w:rPr>
                <w:b/>
                <w:sz w:val="22"/>
                <w:szCs w:val="22"/>
              </w:rPr>
              <w:t>Use</w:t>
            </w:r>
          </w:p>
        </w:tc>
        <w:tc>
          <w:tcPr>
            <w:tcW w:w="4590" w:type="dxa"/>
            <w:vAlign w:val="center"/>
          </w:tcPr>
          <w:p w:rsidR="006D79BE" w:rsidRPr="005553FA" w:rsidRDefault="006D79BE" w:rsidP="00D218E6">
            <w:pPr>
              <w:spacing w:after="60"/>
              <w:ind w:left="346" w:hanging="360"/>
              <w:rPr>
                <w:sz w:val="22"/>
                <w:szCs w:val="22"/>
              </w:rPr>
            </w:pPr>
            <w:r w:rsidRPr="005553FA">
              <w:rPr>
                <w:i/>
                <w:sz w:val="22"/>
                <w:szCs w:val="22"/>
              </w:rPr>
              <w:t>descriptive</w:t>
            </w:r>
            <w:r w:rsidRPr="005553FA">
              <w:rPr>
                <w:sz w:val="22"/>
                <w:szCs w:val="22"/>
              </w:rPr>
              <w:t>: indicate how children grew in a particular place and time, does not imply a healthy pattern of growth</w:t>
            </w:r>
          </w:p>
          <w:p w:rsidR="00243C24" w:rsidRPr="005553FA" w:rsidRDefault="00B20409" w:rsidP="00D218E6">
            <w:pPr>
              <w:spacing w:after="60"/>
              <w:ind w:left="346" w:hanging="360"/>
              <w:rPr>
                <w:i/>
                <w:sz w:val="22"/>
                <w:szCs w:val="22"/>
              </w:rPr>
            </w:pPr>
            <w:r w:rsidRPr="005553FA">
              <w:rPr>
                <w:sz w:val="22"/>
                <w:szCs w:val="22"/>
              </w:rPr>
              <w:t xml:space="preserve">growth </w:t>
            </w:r>
            <w:r w:rsidRPr="005553FA">
              <w:rPr>
                <w:i/>
                <w:sz w:val="22"/>
                <w:szCs w:val="22"/>
              </w:rPr>
              <w:t>reference</w:t>
            </w:r>
          </w:p>
        </w:tc>
        <w:tc>
          <w:tcPr>
            <w:tcW w:w="4500" w:type="dxa"/>
            <w:vAlign w:val="center"/>
          </w:tcPr>
          <w:p w:rsidR="00243C24" w:rsidRPr="005553FA" w:rsidRDefault="006D79BE" w:rsidP="00D218E6">
            <w:pPr>
              <w:spacing w:after="60"/>
              <w:ind w:left="346" w:hanging="360"/>
              <w:rPr>
                <w:sz w:val="22"/>
                <w:szCs w:val="22"/>
              </w:rPr>
            </w:pPr>
            <w:r w:rsidRPr="005553FA">
              <w:rPr>
                <w:i/>
                <w:sz w:val="22"/>
                <w:szCs w:val="22"/>
              </w:rPr>
              <w:t>prescriptive:</w:t>
            </w:r>
            <w:r w:rsidRPr="005553FA">
              <w:rPr>
                <w:sz w:val="22"/>
                <w:szCs w:val="22"/>
              </w:rPr>
              <w:t xml:space="preserve"> growth under optimal conditions, a standard against which all infants should be compared </w:t>
            </w:r>
          </w:p>
          <w:p w:rsidR="006D79BE" w:rsidRPr="005553FA" w:rsidRDefault="00B20409" w:rsidP="00D218E6">
            <w:pPr>
              <w:spacing w:after="60"/>
              <w:ind w:left="346" w:hanging="360"/>
              <w:rPr>
                <w:sz w:val="22"/>
                <w:szCs w:val="22"/>
              </w:rPr>
            </w:pPr>
            <w:r w:rsidRPr="005553FA">
              <w:rPr>
                <w:sz w:val="22"/>
                <w:szCs w:val="22"/>
              </w:rPr>
              <w:t xml:space="preserve">growth </w:t>
            </w:r>
            <w:r w:rsidRPr="005553FA">
              <w:rPr>
                <w:i/>
                <w:sz w:val="22"/>
                <w:szCs w:val="22"/>
              </w:rPr>
              <w:t>standards</w:t>
            </w:r>
          </w:p>
        </w:tc>
      </w:tr>
    </w:tbl>
    <w:p w:rsidR="00D218E6" w:rsidRPr="00BE205D" w:rsidRDefault="00D218E6">
      <w:pPr>
        <w:rPr>
          <w:sz w:val="12"/>
          <w:szCs w:val="12"/>
        </w:rPr>
      </w:pPr>
    </w:p>
    <w:p w:rsidR="005A7789" w:rsidRPr="005553FA" w:rsidRDefault="00BA5B8A" w:rsidP="00EC091E">
      <w:pPr>
        <w:spacing w:after="120"/>
        <w:jc w:val="center"/>
        <w:rPr>
          <w:b/>
          <w:sz w:val="28"/>
          <w:szCs w:val="28"/>
        </w:rPr>
      </w:pPr>
      <w:r w:rsidRPr="005553FA">
        <w:rPr>
          <w:b/>
          <w:sz w:val="28"/>
          <w:szCs w:val="28"/>
        </w:rPr>
        <w:t>Infant Growth Patterns on the WHO and CDC charts</w:t>
      </w:r>
    </w:p>
    <w:p w:rsidR="00BA5B8A" w:rsidRPr="005553FA" w:rsidRDefault="00BA5B8A" w:rsidP="002663C9">
      <w:pPr>
        <w:widowControl w:val="0"/>
        <w:autoSpaceDE w:val="0"/>
        <w:autoSpaceDN w:val="0"/>
        <w:adjustRightInd w:val="0"/>
        <w:spacing w:afterLines="60" w:after="144"/>
        <w:rPr>
          <w:sz w:val="22"/>
          <w:szCs w:val="22"/>
          <w:lang w:eastAsia="ja-JP"/>
        </w:rPr>
      </w:pPr>
      <w:r w:rsidRPr="005553FA">
        <w:rPr>
          <w:sz w:val="22"/>
          <w:szCs w:val="22"/>
          <w:lang w:eastAsia="ja-JP"/>
        </w:rPr>
        <w:t>Growth patterns differ between breastfed and formula-fed infants. Beginning around 3 months of age</w:t>
      </w:r>
      <w:r w:rsidR="00766C77" w:rsidRPr="005553FA">
        <w:rPr>
          <w:sz w:val="22"/>
          <w:szCs w:val="22"/>
          <w:lang w:eastAsia="ja-JP"/>
        </w:rPr>
        <w:t>,</w:t>
      </w:r>
      <w:r w:rsidRPr="005553FA">
        <w:rPr>
          <w:sz w:val="22"/>
          <w:szCs w:val="22"/>
          <w:lang w:eastAsia="ja-JP"/>
        </w:rPr>
        <w:t xml:space="preserve"> weight gain is generally lower for breastfed infants than for that of the formula-fed infant. Linear growth generally follows a similar pattern for both breast- and formula-fed infants.</w:t>
      </w:r>
    </w:p>
    <w:p w:rsidR="00BA5B8A" w:rsidRPr="005553FA" w:rsidRDefault="00BA5B8A" w:rsidP="005553FA">
      <w:pPr>
        <w:widowControl w:val="0"/>
        <w:numPr>
          <w:ilvl w:val="0"/>
          <w:numId w:val="1"/>
        </w:numPr>
        <w:tabs>
          <w:tab w:val="left" w:pos="450"/>
        </w:tabs>
        <w:autoSpaceDE w:val="0"/>
        <w:autoSpaceDN w:val="0"/>
        <w:adjustRightInd w:val="0"/>
        <w:spacing w:after="60"/>
        <w:ind w:left="461" w:hanging="274"/>
        <w:rPr>
          <w:sz w:val="22"/>
          <w:szCs w:val="22"/>
          <w:lang w:eastAsia="ja-JP"/>
        </w:rPr>
      </w:pPr>
      <w:r w:rsidRPr="005553FA">
        <w:rPr>
          <w:sz w:val="22"/>
          <w:szCs w:val="22"/>
          <w:lang w:eastAsia="ja-JP"/>
        </w:rPr>
        <w:t>For the first 3 months of age, the WHO growth charts show a somewhat faster rate of weight gain than the CDC growth charts.</w:t>
      </w:r>
    </w:p>
    <w:p w:rsidR="00BA5B8A" w:rsidRPr="005553FA" w:rsidRDefault="00BA5B8A" w:rsidP="005553FA">
      <w:pPr>
        <w:widowControl w:val="0"/>
        <w:numPr>
          <w:ilvl w:val="0"/>
          <w:numId w:val="1"/>
        </w:numPr>
        <w:tabs>
          <w:tab w:val="left" w:pos="450"/>
        </w:tabs>
        <w:autoSpaceDE w:val="0"/>
        <w:autoSpaceDN w:val="0"/>
        <w:adjustRightInd w:val="0"/>
        <w:spacing w:after="60"/>
        <w:ind w:left="461" w:hanging="274"/>
        <w:rPr>
          <w:sz w:val="22"/>
          <w:szCs w:val="22"/>
          <w:lang w:eastAsia="ja-JP"/>
        </w:rPr>
      </w:pPr>
      <w:r w:rsidRPr="005553FA">
        <w:rPr>
          <w:sz w:val="22"/>
          <w:szCs w:val="22"/>
          <w:lang w:eastAsia="ja-JP"/>
        </w:rPr>
        <w:t>After about 3 months of age, WHO growth charts show a slower rate of growth than the CDC growth charts.</w:t>
      </w:r>
    </w:p>
    <w:p w:rsidR="00594F5B" w:rsidRDefault="00594F5B">
      <w:pPr>
        <w:rPr>
          <w:sz w:val="22"/>
          <w:szCs w:val="22"/>
          <w:lang w:eastAsia="ja-JP"/>
        </w:rPr>
      </w:pPr>
      <w:r>
        <w:rPr>
          <w:sz w:val="22"/>
          <w:szCs w:val="22"/>
          <w:lang w:eastAsia="ja-JP"/>
        </w:rPr>
        <w:br w:type="page"/>
      </w:r>
    </w:p>
    <w:p w:rsidR="00152144" w:rsidRPr="005553FA" w:rsidRDefault="0010129E" w:rsidP="005553FA">
      <w:pPr>
        <w:widowControl w:val="0"/>
        <w:numPr>
          <w:ilvl w:val="0"/>
          <w:numId w:val="1"/>
        </w:numPr>
        <w:tabs>
          <w:tab w:val="left" w:pos="450"/>
        </w:tabs>
        <w:autoSpaceDE w:val="0"/>
        <w:autoSpaceDN w:val="0"/>
        <w:adjustRightInd w:val="0"/>
        <w:spacing w:after="160"/>
        <w:ind w:left="450" w:hanging="270"/>
        <w:rPr>
          <w:b/>
          <w:sz w:val="22"/>
          <w:szCs w:val="22"/>
          <w:lang w:eastAsia="ja-JP"/>
        </w:rPr>
      </w:pPr>
      <w:r w:rsidRPr="005553FA">
        <w:rPr>
          <w:sz w:val="22"/>
          <w:szCs w:val="22"/>
          <w:lang w:eastAsia="ja-JP"/>
        </w:rPr>
        <w:lastRenderedPageBreak/>
        <w:t>Historically, CDC used the 5</w:t>
      </w:r>
      <w:r w:rsidRPr="005553FA">
        <w:rPr>
          <w:sz w:val="22"/>
          <w:szCs w:val="22"/>
          <w:vertAlign w:val="superscript"/>
          <w:lang w:eastAsia="ja-JP"/>
        </w:rPr>
        <w:t>th</w:t>
      </w:r>
      <w:r w:rsidRPr="005553FA">
        <w:rPr>
          <w:sz w:val="22"/>
          <w:szCs w:val="22"/>
          <w:lang w:eastAsia="ja-JP"/>
        </w:rPr>
        <w:t xml:space="preserve"> and 95</w:t>
      </w:r>
      <w:r w:rsidRPr="005553FA">
        <w:rPr>
          <w:sz w:val="22"/>
          <w:szCs w:val="22"/>
          <w:vertAlign w:val="superscript"/>
          <w:lang w:eastAsia="ja-JP"/>
        </w:rPr>
        <w:t>th</w:t>
      </w:r>
      <w:r w:rsidRPr="005553FA">
        <w:rPr>
          <w:sz w:val="22"/>
          <w:szCs w:val="22"/>
          <w:lang w:eastAsia="ja-JP"/>
        </w:rPr>
        <w:t xml:space="preserve"> percentiles as cutoffs. </w:t>
      </w:r>
      <w:r w:rsidR="00766C77" w:rsidRPr="005553FA">
        <w:rPr>
          <w:sz w:val="22"/>
          <w:szCs w:val="22"/>
          <w:lang w:eastAsia="ja-JP"/>
        </w:rPr>
        <w:t xml:space="preserve">Using the WHO </w:t>
      </w:r>
      <w:r w:rsidRPr="005553FA">
        <w:rPr>
          <w:sz w:val="22"/>
          <w:szCs w:val="22"/>
          <w:lang w:eastAsia="ja-JP"/>
        </w:rPr>
        <w:t>2</w:t>
      </w:r>
      <w:r w:rsidRPr="005553FA">
        <w:rPr>
          <w:sz w:val="22"/>
          <w:szCs w:val="22"/>
          <w:vertAlign w:val="superscript"/>
          <w:lang w:eastAsia="ja-JP"/>
        </w:rPr>
        <w:t>nd</w:t>
      </w:r>
      <w:r w:rsidRPr="005553FA">
        <w:rPr>
          <w:sz w:val="22"/>
          <w:szCs w:val="22"/>
          <w:lang w:eastAsia="ja-JP"/>
        </w:rPr>
        <w:t xml:space="preserve"> and 98</w:t>
      </w:r>
      <w:r w:rsidRPr="005553FA">
        <w:rPr>
          <w:sz w:val="22"/>
          <w:szCs w:val="22"/>
          <w:vertAlign w:val="superscript"/>
          <w:lang w:eastAsia="ja-JP"/>
        </w:rPr>
        <w:t>th</w:t>
      </w:r>
      <w:r w:rsidRPr="005553FA">
        <w:rPr>
          <w:sz w:val="22"/>
          <w:szCs w:val="22"/>
          <w:lang w:eastAsia="ja-JP"/>
        </w:rPr>
        <w:t xml:space="preserve"> </w:t>
      </w:r>
      <w:r w:rsidR="00766C77" w:rsidRPr="005553FA">
        <w:rPr>
          <w:sz w:val="22"/>
          <w:szCs w:val="22"/>
          <w:lang w:eastAsia="ja-JP"/>
        </w:rPr>
        <w:t xml:space="preserve">percentile cutoff values indicates a </w:t>
      </w:r>
      <w:r w:rsidR="00766C77" w:rsidRPr="005553FA">
        <w:rPr>
          <w:b/>
          <w:sz w:val="22"/>
          <w:szCs w:val="22"/>
          <w:lang w:eastAsia="ja-JP"/>
        </w:rPr>
        <w:t>change in clinical protocol</w:t>
      </w:r>
      <w:r w:rsidR="00766C77" w:rsidRPr="005553FA">
        <w:rPr>
          <w:sz w:val="22"/>
          <w:szCs w:val="22"/>
          <w:lang w:eastAsia="ja-JP"/>
        </w:rPr>
        <w:t>.</w:t>
      </w:r>
      <w:r w:rsidRPr="005553FA">
        <w:rPr>
          <w:sz w:val="22"/>
          <w:szCs w:val="22"/>
          <w:lang w:eastAsia="ja-JP"/>
        </w:rPr>
        <w:t xml:space="preserve"> </w:t>
      </w:r>
      <w:r w:rsidRPr="005553FA">
        <w:rPr>
          <w:b/>
          <w:sz w:val="22"/>
          <w:szCs w:val="22"/>
          <w:lang w:eastAsia="ja-JP"/>
        </w:rPr>
        <w:t xml:space="preserve">The WHO charts will </w:t>
      </w:r>
      <w:r w:rsidR="004A7B0D" w:rsidRPr="005553FA">
        <w:rPr>
          <w:b/>
          <w:sz w:val="22"/>
          <w:szCs w:val="22"/>
          <w:lang w:eastAsia="ja-JP"/>
        </w:rPr>
        <w:t xml:space="preserve">generally </w:t>
      </w:r>
      <w:r w:rsidRPr="005553FA">
        <w:rPr>
          <w:b/>
          <w:sz w:val="22"/>
          <w:szCs w:val="22"/>
          <w:lang w:eastAsia="ja-JP"/>
        </w:rPr>
        <w:t>identify fewer infants and young children with failure to thrive or short stature</w:t>
      </w:r>
      <w:r w:rsidR="00E966F4" w:rsidRPr="005553FA">
        <w:rPr>
          <w:b/>
          <w:sz w:val="22"/>
          <w:szCs w:val="22"/>
          <w:lang w:eastAsia="ja-JP"/>
        </w:rPr>
        <w:t xml:space="preserve"> after 3 months of age</w:t>
      </w:r>
      <w:r w:rsidR="00073142">
        <w:rPr>
          <w:b/>
          <w:sz w:val="22"/>
          <w:szCs w:val="22"/>
          <w:lang w:eastAsia="ja-JP"/>
        </w:rPr>
        <w:t xml:space="preserve"> than the CDC charts</w:t>
      </w:r>
      <w:r w:rsidRPr="005553FA">
        <w:rPr>
          <w:b/>
          <w:sz w:val="22"/>
          <w:szCs w:val="22"/>
          <w:lang w:eastAsia="ja-JP"/>
        </w:rPr>
        <w:t>.</w:t>
      </w:r>
      <w:r w:rsidR="0087247E" w:rsidRPr="005553FA">
        <w:rPr>
          <w:b/>
          <w:sz w:val="22"/>
          <w:szCs w:val="22"/>
          <w:lang w:eastAsia="ja-JP"/>
        </w:rPr>
        <w:t xml:space="preserve"> Infants and young children identified with low weight for age will be more likely to have a substantial deficiency than some of those identified with the CDC charts.</w:t>
      </w:r>
    </w:p>
    <w:p w:rsidR="00152144" w:rsidRPr="005553FA" w:rsidRDefault="00152144" w:rsidP="00152144">
      <w:pPr>
        <w:widowControl w:val="0"/>
        <w:tabs>
          <w:tab w:val="left" w:pos="220"/>
          <w:tab w:val="left" w:pos="720"/>
        </w:tabs>
        <w:autoSpaceDE w:val="0"/>
        <w:autoSpaceDN w:val="0"/>
        <w:adjustRightInd w:val="0"/>
        <w:spacing w:after="160"/>
        <w:rPr>
          <w:b/>
          <w:sz w:val="28"/>
          <w:szCs w:val="28"/>
          <w:lang w:eastAsia="ja-JP"/>
        </w:rPr>
      </w:pPr>
      <w:r w:rsidRPr="005553FA">
        <w:rPr>
          <w:b/>
          <w:sz w:val="28"/>
          <w:szCs w:val="28"/>
          <w:lang w:eastAsia="ja-JP"/>
        </w:rPr>
        <w:t>Transition from WHO chart to CDC chart at 2 years of age</w:t>
      </w:r>
    </w:p>
    <w:p w:rsidR="00067B57" w:rsidRPr="00590131" w:rsidRDefault="00067B57" w:rsidP="005553FA">
      <w:pPr>
        <w:widowControl w:val="0"/>
        <w:autoSpaceDE w:val="0"/>
        <w:autoSpaceDN w:val="0"/>
        <w:adjustRightInd w:val="0"/>
        <w:rPr>
          <w:sz w:val="22"/>
          <w:szCs w:val="22"/>
          <w:lang w:eastAsia="ja-JP"/>
        </w:rPr>
      </w:pPr>
      <w:r w:rsidRPr="00590131">
        <w:rPr>
          <w:sz w:val="22"/>
          <w:szCs w:val="22"/>
          <w:lang w:eastAsia="ja-JP"/>
        </w:rPr>
        <w:t xml:space="preserve">When a child reaches age 24 months, health care providers need to switch from using the WHO growth standards charts to using the CDC growth reference charts for children ages 2 years up through 19 years. During the transition from one chart to another, </w:t>
      </w:r>
      <w:r w:rsidRPr="00590131">
        <w:rPr>
          <w:b/>
          <w:i/>
          <w:sz w:val="22"/>
          <w:szCs w:val="22"/>
          <w:lang w:eastAsia="ja-JP"/>
        </w:rPr>
        <w:t>chil</w:t>
      </w:r>
      <w:r w:rsidR="00CC73CC" w:rsidRPr="00590131">
        <w:rPr>
          <w:b/>
          <w:i/>
          <w:sz w:val="22"/>
          <w:szCs w:val="22"/>
          <w:lang w:eastAsia="ja-JP"/>
        </w:rPr>
        <w:t>dren may experience a change</w:t>
      </w:r>
      <w:r w:rsidRPr="00590131">
        <w:rPr>
          <w:b/>
          <w:i/>
          <w:sz w:val="22"/>
          <w:szCs w:val="22"/>
          <w:lang w:eastAsia="ja-JP"/>
        </w:rPr>
        <w:t xml:space="preserve"> in </w:t>
      </w:r>
      <w:r w:rsidR="00CC73CC" w:rsidRPr="00590131">
        <w:rPr>
          <w:b/>
          <w:i/>
          <w:sz w:val="22"/>
          <w:szCs w:val="22"/>
          <w:lang w:eastAsia="ja-JP"/>
        </w:rPr>
        <w:t xml:space="preserve">growth </w:t>
      </w:r>
      <w:r w:rsidRPr="00590131">
        <w:rPr>
          <w:b/>
          <w:i/>
          <w:sz w:val="22"/>
          <w:szCs w:val="22"/>
          <w:lang w:eastAsia="ja-JP"/>
        </w:rPr>
        <w:t>classification</w:t>
      </w:r>
      <w:r w:rsidRPr="00590131">
        <w:rPr>
          <w:sz w:val="22"/>
          <w:szCs w:val="22"/>
          <w:lang w:eastAsia="ja-JP"/>
        </w:rPr>
        <w:t xml:space="preserve"> because of a change from:</w:t>
      </w:r>
    </w:p>
    <w:p w:rsidR="00067B57" w:rsidRPr="00590131" w:rsidRDefault="00067B57" w:rsidP="005553FA">
      <w:pPr>
        <w:widowControl w:val="0"/>
        <w:numPr>
          <w:ilvl w:val="0"/>
          <w:numId w:val="1"/>
        </w:numPr>
        <w:tabs>
          <w:tab w:val="left" w:pos="450"/>
        </w:tabs>
        <w:autoSpaceDE w:val="0"/>
        <w:autoSpaceDN w:val="0"/>
        <w:adjustRightInd w:val="0"/>
        <w:spacing w:after="60"/>
        <w:ind w:left="461" w:hanging="274"/>
        <w:rPr>
          <w:sz w:val="22"/>
          <w:szCs w:val="22"/>
          <w:lang w:eastAsia="ja-JP"/>
        </w:rPr>
      </w:pPr>
      <w:r w:rsidRPr="00590131">
        <w:rPr>
          <w:sz w:val="22"/>
          <w:szCs w:val="22"/>
          <w:lang w:eastAsia="ja-JP"/>
        </w:rPr>
        <w:t>Recumbent length to standing height measurements. Note that the difference between recumbent length and stature in national survey data is approximately a 0.8 cm (¼ inch). Standing height measures less than recumbent length. </w:t>
      </w:r>
    </w:p>
    <w:p w:rsidR="00067B57" w:rsidRPr="00590131" w:rsidRDefault="0087247E" w:rsidP="005553FA">
      <w:pPr>
        <w:widowControl w:val="0"/>
        <w:numPr>
          <w:ilvl w:val="0"/>
          <w:numId w:val="1"/>
        </w:numPr>
        <w:tabs>
          <w:tab w:val="left" w:pos="450"/>
        </w:tabs>
        <w:autoSpaceDE w:val="0"/>
        <w:autoSpaceDN w:val="0"/>
        <w:adjustRightInd w:val="0"/>
        <w:spacing w:after="60"/>
        <w:ind w:left="461" w:hanging="274"/>
        <w:rPr>
          <w:sz w:val="22"/>
          <w:szCs w:val="22"/>
          <w:lang w:eastAsia="ja-JP"/>
        </w:rPr>
      </w:pPr>
      <w:r w:rsidRPr="00590131">
        <w:rPr>
          <w:sz w:val="22"/>
          <w:szCs w:val="22"/>
          <w:lang w:eastAsia="ja-JP"/>
        </w:rPr>
        <w:t>Different data set</w:t>
      </w:r>
      <w:r w:rsidR="00C90CD8" w:rsidRPr="00590131">
        <w:rPr>
          <w:sz w:val="22"/>
          <w:szCs w:val="22"/>
          <w:lang w:eastAsia="ja-JP"/>
        </w:rPr>
        <w:t>s</w:t>
      </w:r>
      <w:r w:rsidRPr="00590131">
        <w:rPr>
          <w:sz w:val="22"/>
          <w:szCs w:val="22"/>
          <w:lang w:eastAsia="ja-JP"/>
        </w:rPr>
        <w:t xml:space="preserve"> used to construct charts.</w:t>
      </w:r>
    </w:p>
    <w:p w:rsidR="00067B57" w:rsidRPr="00590131" w:rsidRDefault="00067B57" w:rsidP="005553FA">
      <w:pPr>
        <w:widowControl w:val="0"/>
        <w:numPr>
          <w:ilvl w:val="0"/>
          <w:numId w:val="1"/>
        </w:numPr>
        <w:tabs>
          <w:tab w:val="left" w:pos="450"/>
        </w:tabs>
        <w:autoSpaceDE w:val="0"/>
        <w:autoSpaceDN w:val="0"/>
        <w:adjustRightInd w:val="0"/>
        <w:spacing w:after="60"/>
        <w:ind w:left="461" w:hanging="274"/>
        <w:rPr>
          <w:sz w:val="22"/>
          <w:szCs w:val="22"/>
          <w:lang w:eastAsia="ja-JP"/>
        </w:rPr>
      </w:pPr>
      <w:r w:rsidRPr="00590131">
        <w:rPr>
          <w:sz w:val="22"/>
          <w:szCs w:val="22"/>
          <w:lang w:eastAsia="ja-JP"/>
        </w:rPr>
        <w:t>Weight-for-length chart to BMI-for-age chart.</w:t>
      </w:r>
    </w:p>
    <w:p w:rsidR="00067B57" w:rsidRPr="00590131" w:rsidRDefault="00067B57" w:rsidP="00DC0AC4">
      <w:pPr>
        <w:widowControl w:val="0"/>
        <w:numPr>
          <w:ilvl w:val="0"/>
          <w:numId w:val="1"/>
        </w:numPr>
        <w:tabs>
          <w:tab w:val="left" w:pos="450"/>
        </w:tabs>
        <w:autoSpaceDE w:val="0"/>
        <w:autoSpaceDN w:val="0"/>
        <w:adjustRightInd w:val="0"/>
        <w:spacing w:after="60"/>
        <w:ind w:left="461" w:hanging="274"/>
        <w:rPr>
          <w:sz w:val="22"/>
          <w:szCs w:val="22"/>
          <w:lang w:eastAsia="ja-JP"/>
        </w:rPr>
      </w:pPr>
      <w:r w:rsidRPr="00590131">
        <w:rPr>
          <w:sz w:val="22"/>
          <w:szCs w:val="22"/>
          <w:lang w:eastAsia="ja-JP"/>
        </w:rPr>
        <w:t>One set of cutoff values to another</w:t>
      </w:r>
      <w:r w:rsidR="00752408" w:rsidRPr="00590131">
        <w:rPr>
          <w:sz w:val="22"/>
          <w:szCs w:val="22"/>
          <w:lang w:eastAsia="ja-JP"/>
        </w:rPr>
        <w:t xml:space="preserve"> (2</w:t>
      </w:r>
      <w:r w:rsidR="00752408" w:rsidRPr="00590131">
        <w:rPr>
          <w:sz w:val="22"/>
          <w:szCs w:val="22"/>
          <w:vertAlign w:val="superscript"/>
          <w:lang w:eastAsia="ja-JP"/>
        </w:rPr>
        <w:t>nd</w:t>
      </w:r>
      <w:r w:rsidR="00B20409" w:rsidRPr="00590131">
        <w:rPr>
          <w:sz w:val="22"/>
          <w:szCs w:val="22"/>
          <w:lang w:eastAsia="ja-JP"/>
        </w:rPr>
        <w:t xml:space="preserve"> – </w:t>
      </w:r>
      <w:r w:rsidR="00752408" w:rsidRPr="00590131">
        <w:rPr>
          <w:sz w:val="22"/>
          <w:szCs w:val="22"/>
          <w:lang w:eastAsia="ja-JP"/>
        </w:rPr>
        <w:t>98</w:t>
      </w:r>
      <w:r w:rsidR="00B20409" w:rsidRPr="00590131">
        <w:rPr>
          <w:sz w:val="22"/>
          <w:szCs w:val="22"/>
          <w:vertAlign w:val="superscript"/>
          <w:lang w:eastAsia="ja-JP"/>
        </w:rPr>
        <w:t>th</w:t>
      </w:r>
      <w:r w:rsidR="00752408" w:rsidRPr="00590131">
        <w:rPr>
          <w:sz w:val="22"/>
          <w:szCs w:val="22"/>
          <w:lang w:eastAsia="ja-JP"/>
        </w:rPr>
        <w:t xml:space="preserve"> percentile to 5</w:t>
      </w:r>
      <w:r w:rsidR="00B20409" w:rsidRPr="00590131">
        <w:rPr>
          <w:sz w:val="22"/>
          <w:szCs w:val="22"/>
          <w:vertAlign w:val="superscript"/>
          <w:lang w:eastAsia="ja-JP"/>
        </w:rPr>
        <w:t>th</w:t>
      </w:r>
      <w:r w:rsidR="00752408" w:rsidRPr="00590131">
        <w:rPr>
          <w:sz w:val="22"/>
          <w:szCs w:val="22"/>
          <w:lang w:eastAsia="ja-JP"/>
        </w:rPr>
        <w:t xml:space="preserve"> – 95</w:t>
      </w:r>
      <w:r w:rsidR="00752408" w:rsidRPr="00590131">
        <w:rPr>
          <w:sz w:val="22"/>
          <w:szCs w:val="22"/>
          <w:vertAlign w:val="superscript"/>
          <w:lang w:eastAsia="ja-JP"/>
        </w:rPr>
        <w:t>th</w:t>
      </w:r>
      <w:r w:rsidR="00752408" w:rsidRPr="00590131">
        <w:rPr>
          <w:sz w:val="22"/>
          <w:szCs w:val="22"/>
          <w:lang w:eastAsia="ja-JP"/>
        </w:rPr>
        <w:t xml:space="preserve"> percentile.)</w:t>
      </w:r>
    </w:p>
    <w:p w:rsidR="000F7FB5" w:rsidRPr="00030C76" w:rsidRDefault="00986707" w:rsidP="00DC0AC4">
      <w:pPr>
        <w:spacing w:before="240" w:after="120"/>
        <w:rPr>
          <w:b/>
        </w:rPr>
      </w:pPr>
      <w:r>
        <w:rPr>
          <w:b/>
        </w:rPr>
        <w:t>RESOURCES</w:t>
      </w:r>
      <w:r w:rsidR="000F7FB5" w:rsidRPr="00525D9E">
        <w:rPr>
          <w:b/>
        </w:rPr>
        <w:t>:</w:t>
      </w:r>
    </w:p>
    <w:p w:rsidR="000F7FB5" w:rsidRPr="00590131" w:rsidRDefault="000F7FB5" w:rsidP="00F61F3B">
      <w:pPr>
        <w:pStyle w:val="ListParagraph"/>
        <w:numPr>
          <w:ilvl w:val="0"/>
          <w:numId w:val="8"/>
        </w:numPr>
        <w:spacing w:after="60"/>
        <w:ind w:left="450"/>
        <w:rPr>
          <w:sz w:val="20"/>
          <w:szCs w:val="20"/>
        </w:rPr>
      </w:pPr>
      <w:r w:rsidRPr="00590131">
        <w:rPr>
          <w:i/>
          <w:sz w:val="20"/>
          <w:szCs w:val="20"/>
        </w:rPr>
        <w:t xml:space="preserve">Use of World Health Organization and CDC Growth Charts for Children Aged 0-59 Months in the United States. </w:t>
      </w:r>
      <w:r w:rsidRPr="00590131">
        <w:rPr>
          <w:sz w:val="20"/>
          <w:szCs w:val="20"/>
        </w:rPr>
        <w:t>MMWR, 2010; 59 (No. RR-9): 1-15.</w:t>
      </w:r>
    </w:p>
    <w:p w:rsidR="00986707" w:rsidRPr="00590131" w:rsidRDefault="00986707" w:rsidP="00F61F3B">
      <w:pPr>
        <w:pStyle w:val="ListParagraph"/>
        <w:numPr>
          <w:ilvl w:val="0"/>
          <w:numId w:val="8"/>
        </w:numPr>
        <w:spacing w:after="60"/>
        <w:ind w:left="450"/>
        <w:rPr>
          <w:sz w:val="20"/>
          <w:szCs w:val="20"/>
          <w:lang w:eastAsia="ja-JP"/>
        </w:rPr>
      </w:pPr>
      <w:r w:rsidRPr="00590131">
        <w:rPr>
          <w:sz w:val="20"/>
          <w:szCs w:val="20"/>
          <w:lang w:eastAsia="ja-JP"/>
        </w:rPr>
        <w:t xml:space="preserve">Ogata, B and Feucht, S, </w:t>
      </w:r>
      <w:r w:rsidRPr="00590131">
        <w:rPr>
          <w:i/>
          <w:sz w:val="20"/>
          <w:szCs w:val="20"/>
          <w:lang w:eastAsia="ja-JP"/>
        </w:rPr>
        <w:t xml:space="preserve">Assessment of Growth: Part 1 and Part 2, </w:t>
      </w:r>
      <w:r w:rsidRPr="00590131">
        <w:rPr>
          <w:sz w:val="20"/>
          <w:szCs w:val="20"/>
          <w:lang w:eastAsia="ja-JP"/>
        </w:rPr>
        <w:t xml:space="preserve">Nutrition Focus Newsletter 26 (6): 1-12, 2011 and 27 (1): 1-15, 2012. </w:t>
      </w:r>
      <w:hyperlink r:id="rId9" w:history="1">
        <w:r w:rsidRPr="00590131">
          <w:rPr>
            <w:rStyle w:val="Hyperlink"/>
            <w:sz w:val="20"/>
            <w:szCs w:val="20"/>
            <w:lang w:eastAsia="ja-JP"/>
          </w:rPr>
          <w:t>http://depts.washington.edu/nutrfoc/webapps/</w:t>
        </w:r>
      </w:hyperlink>
    </w:p>
    <w:p w:rsidR="00D54E66" w:rsidRPr="00590131" w:rsidRDefault="00D54E66" w:rsidP="00F61F3B">
      <w:pPr>
        <w:pStyle w:val="ListParagraph"/>
        <w:numPr>
          <w:ilvl w:val="0"/>
          <w:numId w:val="8"/>
        </w:numPr>
        <w:spacing w:after="60"/>
        <w:ind w:left="450"/>
        <w:rPr>
          <w:sz w:val="20"/>
          <w:szCs w:val="20"/>
        </w:rPr>
      </w:pPr>
      <w:r w:rsidRPr="00590131">
        <w:rPr>
          <w:sz w:val="20"/>
          <w:szCs w:val="20"/>
        </w:rPr>
        <w:t xml:space="preserve">WHO growth chart training: </w:t>
      </w:r>
      <w:hyperlink r:id="rId10" w:history="1">
        <w:r w:rsidR="00721DD6" w:rsidRPr="00590131">
          <w:rPr>
            <w:rStyle w:val="Hyperlink"/>
            <w:sz w:val="20"/>
            <w:szCs w:val="20"/>
          </w:rPr>
          <w:t>http://www.cdc.gov/nccdphp/dnpao/growthcharts/who/index.htm</w:t>
        </w:r>
      </w:hyperlink>
    </w:p>
    <w:p w:rsidR="00721DD6" w:rsidRPr="00590131" w:rsidRDefault="00525D9E" w:rsidP="00F61F3B">
      <w:pPr>
        <w:pStyle w:val="ListParagraph"/>
        <w:numPr>
          <w:ilvl w:val="0"/>
          <w:numId w:val="8"/>
        </w:numPr>
        <w:spacing w:after="60"/>
        <w:ind w:left="450"/>
        <w:rPr>
          <w:sz w:val="20"/>
          <w:szCs w:val="20"/>
          <w:lang w:eastAsia="ja-JP"/>
        </w:rPr>
      </w:pPr>
      <w:r w:rsidRPr="00590131">
        <w:rPr>
          <w:sz w:val="20"/>
          <w:szCs w:val="20"/>
        </w:rPr>
        <w:t xml:space="preserve">WHO information: </w:t>
      </w:r>
      <w:hyperlink r:id="rId11" w:history="1">
        <w:r w:rsidR="00721DD6" w:rsidRPr="00590131">
          <w:rPr>
            <w:rStyle w:val="Hyperlink"/>
            <w:sz w:val="20"/>
            <w:szCs w:val="20"/>
            <w:lang w:eastAsia="ja-JP"/>
          </w:rPr>
          <w:t>http://www.who.int/childgrowth/en/</w:t>
        </w:r>
      </w:hyperlink>
    </w:p>
    <w:p w:rsidR="00721DD6" w:rsidRPr="00590131" w:rsidRDefault="00525D9E" w:rsidP="00F61F3B">
      <w:pPr>
        <w:pStyle w:val="ListParagraph"/>
        <w:numPr>
          <w:ilvl w:val="0"/>
          <w:numId w:val="8"/>
        </w:numPr>
        <w:spacing w:after="60"/>
        <w:ind w:left="450"/>
        <w:rPr>
          <w:sz w:val="20"/>
          <w:szCs w:val="20"/>
          <w:lang w:eastAsia="ja-JP"/>
        </w:rPr>
      </w:pPr>
      <w:r w:rsidRPr="00590131">
        <w:rPr>
          <w:sz w:val="20"/>
          <w:szCs w:val="20"/>
        </w:rPr>
        <w:t xml:space="preserve">CDC information: </w:t>
      </w:r>
      <w:hyperlink r:id="rId12" w:history="1">
        <w:r w:rsidR="00721DD6" w:rsidRPr="00590131">
          <w:rPr>
            <w:rStyle w:val="Hyperlink"/>
            <w:sz w:val="20"/>
            <w:szCs w:val="20"/>
            <w:lang w:eastAsia="ja-JP"/>
          </w:rPr>
          <w:t>http://www.cdc.gov/growthcharts/cdc_charts.htm</w:t>
        </w:r>
      </w:hyperlink>
    </w:p>
    <w:p w:rsidR="007C2475" w:rsidRPr="00590131" w:rsidRDefault="007C2475" w:rsidP="007C2475">
      <w:pPr>
        <w:pStyle w:val="ListParagraph"/>
        <w:numPr>
          <w:ilvl w:val="0"/>
          <w:numId w:val="8"/>
        </w:numPr>
        <w:spacing w:after="60"/>
        <w:ind w:left="450"/>
        <w:rPr>
          <w:rStyle w:val="Hyperlink"/>
          <w:color w:val="auto"/>
          <w:sz w:val="20"/>
          <w:szCs w:val="20"/>
          <w:u w:val="none"/>
          <w:lang w:eastAsia="ja-JP"/>
        </w:rPr>
      </w:pPr>
      <w:r w:rsidRPr="00590131">
        <w:rPr>
          <w:sz w:val="20"/>
          <w:szCs w:val="20"/>
          <w:lang w:eastAsia="ja-JP"/>
        </w:rPr>
        <w:t xml:space="preserve">Growth charts for downloading: </w:t>
      </w:r>
      <w:hyperlink r:id="rId13" w:history="1">
        <w:r w:rsidRPr="00590131">
          <w:rPr>
            <w:rStyle w:val="Hyperlink"/>
            <w:sz w:val="20"/>
            <w:szCs w:val="20"/>
            <w:lang w:eastAsia="ja-JP"/>
          </w:rPr>
          <w:t>http://www.cdc.gov/growthcharts/who_charts.htm</w:t>
        </w:r>
      </w:hyperlink>
    </w:p>
    <w:p w:rsidR="00590131" w:rsidRPr="00590131" w:rsidRDefault="00590131" w:rsidP="00590131">
      <w:pPr>
        <w:spacing w:before="120" w:after="120"/>
        <w:ind w:left="86"/>
        <w:rPr>
          <w:rStyle w:val="Hyperlink"/>
          <w:color w:val="auto"/>
          <w:sz w:val="20"/>
          <w:szCs w:val="20"/>
          <w:u w:val="none"/>
          <w:lang w:eastAsia="ja-JP"/>
        </w:rPr>
      </w:pPr>
      <w:r w:rsidRPr="00590131">
        <w:rPr>
          <w:rStyle w:val="Hyperlink"/>
          <w:color w:val="auto"/>
          <w:sz w:val="20"/>
          <w:szCs w:val="20"/>
          <w:u w:val="none"/>
          <w:lang w:eastAsia="ja-JP"/>
        </w:rPr>
        <w:t xml:space="preserve">If you have concerns about a child’s growth, contact a pediatric dietitian. If you have trouble locating a pediatric dietitian, you can contact the Washington State Children with Special Health Care Needs Nutrition Network </w:t>
      </w:r>
      <w:hyperlink r:id="rId14" w:history="1">
        <w:r w:rsidRPr="00EB6C98">
          <w:rPr>
            <w:rStyle w:val="Hyperlink"/>
            <w:sz w:val="20"/>
            <w:szCs w:val="20"/>
            <w:lang w:eastAsia="ja-JP"/>
          </w:rPr>
          <w:t>http://depts.washington.edu/cshcnnut/nutnet/index.html</w:t>
        </w:r>
      </w:hyperlink>
    </w:p>
    <w:tbl>
      <w:tblPr>
        <w:tblW w:w="10635" w:type="dxa"/>
        <w:tblCellMar>
          <w:left w:w="0" w:type="dxa"/>
          <w:right w:w="0" w:type="dxa"/>
        </w:tblCellMar>
        <w:tblLook w:val="04A0" w:firstRow="1" w:lastRow="0" w:firstColumn="1" w:lastColumn="0" w:noHBand="0" w:noVBand="1"/>
      </w:tblPr>
      <w:tblGrid>
        <w:gridCol w:w="5778"/>
        <w:gridCol w:w="4857"/>
      </w:tblGrid>
      <w:tr w:rsidR="00AB59D5" w:rsidRPr="00AB59D5" w:rsidTr="00AB59D5">
        <w:trPr>
          <w:cantSplit/>
          <w:trHeight w:val="222"/>
        </w:trPr>
        <w:tc>
          <w:tcPr>
            <w:tcW w:w="10635"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vAlign w:val="center"/>
            <w:hideMark/>
          </w:tcPr>
          <w:p w:rsidR="00AB59D5" w:rsidRDefault="00AB59D5" w:rsidP="00AB59D5">
            <w:pPr>
              <w:pStyle w:val="Heading3"/>
              <w:spacing w:after="120"/>
              <w:rPr>
                <w:rFonts w:ascii="Times New Roman" w:eastAsia="Times New Roman" w:hAnsi="Times New Roman" w:cs="Times New Roman"/>
                <w:color w:val="000000"/>
              </w:rPr>
            </w:pPr>
            <w:r w:rsidRPr="00AB59D5">
              <w:rPr>
                <w:rFonts w:ascii="Times New Roman" w:eastAsia="Times New Roman" w:hAnsi="Times New Roman" w:cs="Times New Roman"/>
                <w:color w:val="000000"/>
              </w:rPr>
              <w:t>Special Needs Information and Resources:</w:t>
            </w:r>
          </w:p>
          <w:p w:rsidR="00AB59D5" w:rsidRPr="00AB59D5" w:rsidRDefault="00AB59D5" w:rsidP="00AB59D5">
            <w:pPr>
              <w:pStyle w:val="Body"/>
              <w:rPr>
                <w:rFonts w:ascii="Times New Roman" w:hAnsi="Times New Roman" w:cs="Times New Roman"/>
                <w:color w:val="000000"/>
              </w:rPr>
            </w:pPr>
            <w:r w:rsidRPr="00AB59D5">
              <w:rPr>
                <w:rFonts w:ascii="Times New Roman" w:hAnsi="Times New Roman" w:cs="Times New Roman"/>
                <w:color w:val="000000"/>
              </w:rPr>
              <w:t>(3)</w:t>
            </w:r>
          </w:p>
          <w:p w:rsidR="00AB59D5" w:rsidRPr="00AB59D5" w:rsidRDefault="00AB59D5" w:rsidP="00AB59D5">
            <w:pPr>
              <w:pStyle w:val="Body"/>
              <w:rPr>
                <w:rFonts w:ascii="Times New Roman" w:hAnsi="Times New Roman" w:cs="Times New Roman"/>
                <w:color w:val="000000"/>
              </w:rPr>
            </w:pPr>
            <w:r w:rsidRPr="00AB59D5">
              <w:rPr>
                <w:rFonts w:ascii="Times New Roman" w:hAnsi="Times New Roman" w:cs="Times New Roman"/>
                <w:color w:val="000000"/>
              </w:rPr>
              <w:t>(4)</w:t>
            </w:r>
          </w:p>
          <w:p w:rsidR="00AB59D5" w:rsidRPr="00AB59D5" w:rsidRDefault="00AB59D5" w:rsidP="00AB59D5">
            <w:pPr>
              <w:spacing w:after="60"/>
              <w:rPr>
                <w:sz w:val="20"/>
                <w:szCs w:val="20"/>
              </w:rPr>
            </w:pPr>
            <w:r w:rsidRPr="00AB59D5">
              <w:rPr>
                <w:color w:val="000000"/>
                <w:sz w:val="20"/>
                <w:szCs w:val="20"/>
              </w:rPr>
              <w:t>(5)</w:t>
            </w:r>
          </w:p>
        </w:tc>
      </w:tr>
      <w:tr w:rsidR="00AB59D5" w:rsidRPr="00AB59D5" w:rsidTr="0054070A">
        <w:trPr>
          <w:cantSplit/>
          <w:trHeight w:val="516"/>
        </w:trPr>
        <w:tc>
          <w:tcPr>
            <w:tcW w:w="5778" w:type="dxa"/>
            <w:tcBorders>
              <w:left w:val="double" w:sz="4" w:space="0" w:color="auto"/>
              <w:bottom w:val="single" w:sz="8" w:space="0" w:color="auto"/>
            </w:tcBorders>
            <w:tcMar>
              <w:top w:w="0" w:type="dxa"/>
              <w:left w:w="108" w:type="dxa"/>
              <w:bottom w:w="0" w:type="dxa"/>
              <w:right w:w="108" w:type="dxa"/>
            </w:tcMar>
          </w:tcPr>
          <w:p w:rsidR="00AB59D5" w:rsidRPr="00AB59D5" w:rsidRDefault="00AB59D5">
            <w:pPr>
              <w:pStyle w:val="Body"/>
              <w:rPr>
                <w:rFonts w:ascii="Times New Roman" w:hAnsi="Times New Roman" w:cs="Times New Roman"/>
                <w:color w:val="000000"/>
              </w:rPr>
            </w:pPr>
            <w:r w:rsidRPr="00AB59D5">
              <w:rPr>
                <w:rFonts w:ascii="Times New Roman" w:hAnsi="Times New Roman" w:cs="Times New Roman"/>
                <w:color w:val="000000"/>
              </w:rPr>
              <w:t>WithinReach Family Health Hotline</w:t>
            </w:r>
          </w:p>
        </w:tc>
        <w:tc>
          <w:tcPr>
            <w:tcW w:w="4857" w:type="dxa"/>
            <w:tcBorders>
              <w:top w:val="nil"/>
              <w:left w:val="nil"/>
              <w:bottom w:val="single" w:sz="8" w:space="0" w:color="auto"/>
              <w:right w:val="double" w:sz="4" w:space="0" w:color="auto"/>
            </w:tcBorders>
            <w:tcMar>
              <w:top w:w="0" w:type="dxa"/>
              <w:left w:w="108" w:type="dxa"/>
              <w:bottom w:w="0" w:type="dxa"/>
              <w:right w:w="108" w:type="dxa"/>
            </w:tcMar>
            <w:hideMark/>
          </w:tcPr>
          <w:p w:rsidR="00AB59D5" w:rsidRPr="00AB59D5" w:rsidRDefault="00AB59D5">
            <w:pPr>
              <w:pStyle w:val="Body"/>
              <w:rPr>
                <w:rFonts w:ascii="Times New Roman" w:hAnsi="Times New Roman" w:cs="Times New Roman"/>
                <w:color w:val="000000"/>
              </w:rPr>
            </w:pPr>
            <w:r w:rsidRPr="00AB59D5">
              <w:rPr>
                <w:rFonts w:ascii="Times New Roman" w:hAnsi="Times New Roman" w:cs="Times New Roman"/>
                <w:color w:val="000000"/>
              </w:rPr>
              <w:t xml:space="preserve">1-800-322-2588, 1-800-833-6388 TTD </w:t>
            </w:r>
          </w:p>
          <w:p w:rsidR="00AB59D5" w:rsidRPr="00AB59D5" w:rsidRDefault="002663C9" w:rsidP="00AB59D5">
            <w:pPr>
              <w:pStyle w:val="Body"/>
              <w:rPr>
                <w:rFonts w:ascii="Times New Roman" w:hAnsi="Times New Roman" w:cs="Times New Roman"/>
                <w:color w:val="040DBC"/>
              </w:rPr>
            </w:pPr>
            <w:hyperlink r:id="rId15" w:history="1">
              <w:r w:rsidR="00AB59D5" w:rsidRPr="00AB59D5">
                <w:rPr>
                  <w:rStyle w:val="Hyperlink"/>
                  <w:rFonts w:ascii="Times New Roman" w:hAnsi="Times New Roman" w:cs="Times New Roman"/>
                  <w:color w:val="040DBC"/>
                </w:rPr>
                <w:t>www.withinreachwa.org</w:t>
              </w:r>
            </w:hyperlink>
            <w:r w:rsidR="00AB59D5" w:rsidRPr="00AB59D5">
              <w:rPr>
                <w:rFonts w:ascii="Times New Roman" w:hAnsi="Times New Roman" w:cs="Times New Roman"/>
                <w:color w:val="040DBC"/>
                <w:u w:val="single"/>
              </w:rPr>
              <w:t xml:space="preserve"> </w:t>
            </w:r>
          </w:p>
        </w:tc>
      </w:tr>
      <w:tr w:rsidR="00AB59D5" w:rsidRPr="00AB59D5" w:rsidTr="0054070A">
        <w:trPr>
          <w:cantSplit/>
          <w:trHeight w:val="214"/>
        </w:trPr>
        <w:tc>
          <w:tcPr>
            <w:tcW w:w="5778" w:type="dxa"/>
            <w:tcBorders>
              <w:top w:val="single" w:sz="8" w:space="0" w:color="auto"/>
              <w:left w:val="double" w:sz="4" w:space="0" w:color="auto"/>
              <w:bottom w:val="single" w:sz="8" w:space="0" w:color="auto"/>
              <w:right w:val="nil"/>
            </w:tcBorders>
            <w:tcMar>
              <w:top w:w="0" w:type="dxa"/>
              <w:left w:w="108" w:type="dxa"/>
              <w:bottom w:w="0" w:type="dxa"/>
              <w:right w:w="108" w:type="dxa"/>
            </w:tcMar>
            <w:hideMark/>
          </w:tcPr>
          <w:p w:rsidR="00AB59D5" w:rsidRPr="00AB59D5" w:rsidRDefault="00AB59D5">
            <w:pPr>
              <w:pStyle w:val="Body"/>
              <w:rPr>
                <w:rFonts w:ascii="Times New Roman" w:hAnsi="Times New Roman" w:cs="Times New Roman"/>
                <w:color w:val="000000"/>
              </w:rPr>
            </w:pPr>
            <w:r w:rsidRPr="00AB59D5">
              <w:rPr>
                <w:rFonts w:ascii="Times New Roman" w:hAnsi="Times New Roman" w:cs="Times New Roman"/>
                <w:color w:val="000000"/>
              </w:rPr>
              <w:t>ParentHelp123.org</w:t>
            </w:r>
          </w:p>
        </w:tc>
        <w:tc>
          <w:tcPr>
            <w:tcW w:w="4857" w:type="dxa"/>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AB59D5" w:rsidRPr="00AB59D5" w:rsidRDefault="002663C9" w:rsidP="00AB59D5">
            <w:pPr>
              <w:pStyle w:val="Body"/>
              <w:rPr>
                <w:rFonts w:ascii="Times New Roman" w:hAnsi="Times New Roman" w:cs="Times New Roman"/>
                <w:color w:val="000000"/>
              </w:rPr>
            </w:pPr>
            <w:hyperlink r:id="rId16" w:history="1">
              <w:r w:rsidR="00AB59D5" w:rsidRPr="00AB59D5">
                <w:rPr>
                  <w:rStyle w:val="Hyperlink"/>
                  <w:rFonts w:ascii="Times New Roman" w:hAnsi="Times New Roman" w:cs="Times New Roman"/>
                </w:rPr>
                <w:t>www.ParentHelp123.org</w:t>
              </w:r>
            </w:hyperlink>
          </w:p>
        </w:tc>
      </w:tr>
      <w:tr w:rsidR="00AB59D5" w:rsidRPr="00AB59D5" w:rsidTr="0054070A">
        <w:trPr>
          <w:cantSplit/>
          <w:trHeight w:val="305"/>
        </w:trPr>
        <w:tc>
          <w:tcPr>
            <w:tcW w:w="5778" w:type="dxa"/>
            <w:tcBorders>
              <w:top w:val="single" w:sz="8" w:space="0" w:color="auto"/>
              <w:left w:val="double" w:sz="4" w:space="0" w:color="auto"/>
              <w:bottom w:val="single" w:sz="8" w:space="0" w:color="auto"/>
              <w:right w:val="nil"/>
            </w:tcBorders>
            <w:tcMar>
              <w:top w:w="0" w:type="dxa"/>
              <w:left w:w="108" w:type="dxa"/>
              <w:bottom w:w="0" w:type="dxa"/>
              <w:right w:w="108" w:type="dxa"/>
            </w:tcMar>
            <w:hideMark/>
          </w:tcPr>
          <w:p w:rsidR="00AB59D5" w:rsidRPr="00AB59D5" w:rsidRDefault="00AB59D5">
            <w:pPr>
              <w:pStyle w:val="Body"/>
              <w:rPr>
                <w:rFonts w:ascii="Times New Roman" w:hAnsi="Times New Roman" w:cs="Times New Roman"/>
                <w:color w:val="000000"/>
              </w:rPr>
            </w:pPr>
            <w:r w:rsidRPr="00AB59D5">
              <w:rPr>
                <w:rFonts w:ascii="Times New Roman" w:hAnsi="Times New Roman" w:cs="Times New Roman"/>
                <w:color w:val="000000"/>
              </w:rPr>
              <w:t>Early Support for Infants and Toddlers Program (formerly ITEIP)</w:t>
            </w:r>
          </w:p>
        </w:tc>
        <w:tc>
          <w:tcPr>
            <w:tcW w:w="4857" w:type="dxa"/>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AB59D5" w:rsidRPr="00AB59D5" w:rsidRDefault="002663C9">
            <w:pPr>
              <w:pStyle w:val="Body"/>
              <w:rPr>
                <w:rFonts w:ascii="Times New Roman" w:hAnsi="Times New Roman" w:cs="Times New Roman"/>
                <w:color w:val="040DBC"/>
              </w:rPr>
            </w:pPr>
            <w:hyperlink r:id="rId17" w:history="1">
              <w:r w:rsidR="00AB59D5" w:rsidRPr="00AB59D5">
                <w:rPr>
                  <w:rStyle w:val="Hyperlink"/>
                  <w:rFonts w:ascii="Times New Roman" w:hAnsi="Times New Roman" w:cs="Times New Roman"/>
                </w:rPr>
                <w:t>http://del.wa.gov/development/esit/</w:t>
              </w:r>
            </w:hyperlink>
          </w:p>
          <w:p w:rsidR="00AB59D5" w:rsidRPr="00AB59D5" w:rsidRDefault="00AB59D5" w:rsidP="00AB59D5">
            <w:pPr>
              <w:pStyle w:val="Body"/>
              <w:rPr>
                <w:rFonts w:ascii="Times New Roman" w:hAnsi="Times New Roman" w:cs="Times New Roman"/>
                <w:color w:val="040DBC"/>
              </w:rPr>
            </w:pPr>
            <w:r w:rsidRPr="00AB59D5">
              <w:rPr>
                <w:rFonts w:ascii="Times New Roman" w:hAnsi="Times New Roman" w:cs="Times New Roman"/>
              </w:rPr>
              <w:t>Main number: (360) 725-3500</w:t>
            </w:r>
          </w:p>
        </w:tc>
      </w:tr>
      <w:tr w:rsidR="00AB59D5" w:rsidRPr="00AB59D5" w:rsidTr="0054070A">
        <w:trPr>
          <w:cantSplit/>
          <w:trHeight w:val="308"/>
        </w:trPr>
        <w:tc>
          <w:tcPr>
            <w:tcW w:w="5778" w:type="dxa"/>
            <w:tcBorders>
              <w:top w:val="single" w:sz="8" w:space="0" w:color="auto"/>
              <w:left w:val="double" w:sz="4" w:space="0" w:color="auto"/>
              <w:bottom w:val="single" w:sz="8" w:space="0" w:color="auto"/>
              <w:right w:val="nil"/>
            </w:tcBorders>
            <w:tcMar>
              <w:top w:w="0" w:type="dxa"/>
              <w:left w:w="108" w:type="dxa"/>
              <w:bottom w:w="0" w:type="dxa"/>
              <w:right w:w="108" w:type="dxa"/>
            </w:tcMar>
          </w:tcPr>
          <w:p w:rsidR="00AB59D5" w:rsidRPr="00AB59D5" w:rsidRDefault="00AB59D5">
            <w:pPr>
              <w:pStyle w:val="Body"/>
              <w:rPr>
                <w:rFonts w:ascii="Times New Roman" w:hAnsi="Times New Roman" w:cs="Times New Roman"/>
                <w:color w:val="000000"/>
              </w:rPr>
            </w:pPr>
            <w:r w:rsidRPr="00AB59D5">
              <w:rPr>
                <w:rFonts w:ascii="Times New Roman" w:hAnsi="Times New Roman" w:cs="Times New Roman"/>
                <w:color w:val="000000"/>
              </w:rPr>
              <w:t>Parent to Parent Support Programs of Washington</w:t>
            </w:r>
          </w:p>
          <w:p w:rsidR="00AB59D5" w:rsidRPr="00AB59D5" w:rsidRDefault="00AB59D5">
            <w:pPr>
              <w:pStyle w:val="Body"/>
              <w:rPr>
                <w:rFonts w:ascii="Times New Roman" w:hAnsi="Times New Roman" w:cs="Times New Roman"/>
                <w:color w:val="000000"/>
              </w:rPr>
            </w:pPr>
          </w:p>
        </w:tc>
        <w:tc>
          <w:tcPr>
            <w:tcW w:w="4857" w:type="dxa"/>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AB59D5" w:rsidRPr="00AB59D5" w:rsidRDefault="00AB59D5">
            <w:pPr>
              <w:pStyle w:val="Body"/>
              <w:rPr>
                <w:rFonts w:ascii="Times New Roman" w:hAnsi="Times New Roman" w:cs="Times New Roman"/>
                <w:color w:val="000000"/>
              </w:rPr>
            </w:pPr>
            <w:r w:rsidRPr="00AB59D5">
              <w:rPr>
                <w:rFonts w:ascii="Times New Roman" w:hAnsi="Times New Roman" w:cs="Times New Roman"/>
                <w:color w:val="000000"/>
              </w:rPr>
              <w:t>(800) 821-5927</w:t>
            </w:r>
          </w:p>
          <w:p w:rsidR="00AB59D5" w:rsidRPr="00AB59D5" w:rsidRDefault="002663C9" w:rsidP="00AB59D5">
            <w:pPr>
              <w:pStyle w:val="Body"/>
              <w:rPr>
                <w:rFonts w:ascii="Times New Roman" w:hAnsi="Times New Roman" w:cs="Times New Roman"/>
                <w:color w:val="040DBC"/>
              </w:rPr>
            </w:pPr>
            <w:hyperlink r:id="rId18" w:history="1">
              <w:r w:rsidR="00AB59D5" w:rsidRPr="00AB59D5">
                <w:rPr>
                  <w:rStyle w:val="Hyperlink"/>
                  <w:rFonts w:ascii="Times New Roman" w:hAnsi="Times New Roman" w:cs="Times New Roman"/>
                  <w:color w:val="040DBC"/>
                </w:rPr>
                <w:t>www.arcwa.org/parent_to_parent.htm</w:t>
              </w:r>
            </w:hyperlink>
          </w:p>
        </w:tc>
      </w:tr>
      <w:tr w:rsidR="00AB59D5" w:rsidRPr="00AB59D5" w:rsidTr="0054070A">
        <w:trPr>
          <w:cantSplit/>
          <w:trHeight w:val="308"/>
        </w:trPr>
        <w:tc>
          <w:tcPr>
            <w:tcW w:w="5778" w:type="dxa"/>
            <w:tcBorders>
              <w:top w:val="single" w:sz="8" w:space="0" w:color="auto"/>
              <w:left w:val="double" w:sz="4" w:space="0" w:color="auto"/>
              <w:bottom w:val="single" w:sz="8" w:space="0" w:color="auto"/>
              <w:right w:val="nil"/>
            </w:tcBorders>
            <w:tcMar>
              <w:top w:w="0" w:type="dxa"/>
              <w:left w:w="108" w:type="dxa"/>
              <w:bottom w:w="0" w:type="dxa"/>
              <w:right w:w="108" w:type="dxa"/>
            </w:tcMar>
            <w:hideMark/>
          </w:tcPr>
          <w:p w:rsidR="00AB59D5" w:rsidRPr="00AB59D5" w:rsidRDefault="00AB59D5">
            <w:pPr>
              <w:pStyle w:val="Body"/>
              <w:rPr>
                <w:rFonts w:ascii="Times New Roman" w:hAnsi="Times New Roman" w:cs="Times New Roman"/>
                <w:color w:val="000000"/>
              </w:rPr>
            </w:pPr>
            <w:r w:rsidRPr="00AB59D5">
              <w:rPr>
                <w:rFonts w:ascii="Times New Roman" w:hAnsi="Times New Roman" w:cs="Times New Roman"/>
                <w:color w:val="000000"/>
              </w:rPr>
              <w:t>The Center for Children with Special Needs</w:t>
            </w:r>
          </w:p>
        </w:tc>
        <w:tc>
          <w:tcPr>
            <w:tcW w:w="4857" w:type="dxa"/>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AB59D5" w:rsidRPr="00AB59D5" w:rsidRDefault="002663C9" w:rsidP="00AB59D5">
            <w:pPr>
              <w:pStyle w:val="Body"/>
              <w:rPr>
                <w:rFonts w:ascii="Times New Roman" w:hAnsi="Times New Roman" w:cs="Times New Roman"/>
                <w:color w:val="000000"/>
              </w:rPr>
            </w:pPr>
            <w:hyperlink r:id="rId19" w:history="1">
              <w:r w:rsidR="00AB59D5" w:rsidRPr="00AB59D5">
                <w:rPr>
                  <w:rStyle w:val="Hyperlink"/>
                  <w:rFonts w:ascii="Times New Roman" w:hAnsi="Times New Roman" w:cs="Times New Roman"/>
                </w:rPr>
                <w:t>http://www.cshcn.org</w:t>
              </w:r>
            </w:hyperlink>
          </w:p>
        </w:tc>
      </w:tr>
      <w:tr w:rsidR="00AB59D5" w:rsidRPr="00AB59D5" w:rsidTr="0054070A">
        <w:trPr>
          <w:cantSplit/>
          <w:trHeight w:val="370"/>
        </w:trPr>
        <w:tc>
          <w:tcPr>
            <w:tcW w:w="5778" w:type="dxa"/>
            <w:tcBorders>
              <w:top w:val="single" w:sz="8" w:space="0" w:color="auto"/>
              <w:left w:val="double" w:sz="4" w:space="0" w:color="auto"/>
              <w:bottom w:val="single" w:sz="8" w:space="0" w:color="auto"/>
              <w:right w:val="nil"/>
            </w:tcBorders>
            <w:tcMar>
              <w:top w:w="0" w:type="dxa"/>
              <w:left w:w="108" w:type="dxa"/>
              <w:bottom w:w="0" w:type="dxa"/>
              <w:right w:w="108" w:type="dxa"/>
            </w:tcMar>
            <w:hideMark/>
          </w:tcPr>
          <w:p w:rsidR="00AB59D5" w:rsidRPr="00AB59D5" w:rsidRDefault="00AB59D5">
            <w:pPr>
              <w:pStyle w:val="Body"/>
              <w:spacing w:before="60"/>
              <w:rPr>
                <w:rFonts w:ascii="Times New Roman" w:hAnsi="Times New Roman" w:cs="Times New Roman"/>
                <w:color w:val="000000"/>
              </w:rPr>
            </w:pPr>
            <w:r w:rsidRPr="00AB59D5">
              <w:rPr>
                <w:rFonts w:ascii="Times New Roman" w:hAnsi="Times New Roman" w:cs="Times New Roman"/>
                <w:color w:val="000000"/>
              </w:rPr>
              <w:t>Washington State Medical Home</w:t>
            </w:r>
          </w:p>
        </w:tc>
        <w:tc>
          <w:tcPr>
            <w:tcW w:w="4857" w:type="dxa"/>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AB59D5" w:rsidRPr="00AB59D5" w:rsidRDefault="002663C9" w:rsidP="00A16789">
            <w:pPr>
              <w:pStyle w:val="Body"/>
              <w:spacing w:before="60"/>
              <w:rPr>
                <w:rFonts w:ascii="Times New Roman" w:hAnsi="Times New Roman" w:cs="Times New Roman"/>
                <w:color w:val="000000"/>
              </w:rPr>
            </w:pPr>
            <w:hyperlink r:id="rId20" w:history="1">
              <w:r w:rsidR="00A16789" w:rsidRPr="00187D50">
                <w:rPr>
                  <w:rStyle w:val="Hyperlink"/>
                  <w:rFonts w:ascii="Times New Roman" w:hAnsi="Times New Roman" w:cs="Times New Roman"/>
                </w:rPr>
                <w:t>http://www.medicalhome.org</w:t>
              </w:r>
            </w:hyperlink>
          </w:p>
        </w:tc>
      </w:tr>
      <w:tr w:rsidR="00AB59D5" w:rsidRPr="00AB59D5" w:rsidTr="0054070A">
        <w:trPr>
          <w:cantSplit/>
          <w:trHeight w:val="1425"/>
        </w:trPr>
        <w:tc>
          <w:tcPr>
            <w:tcW w:w="5778" w:type="dxa"/>
            <w:tcBorders>
              <w:top w:val="single" w:sz="8" w:space="0" w:color="auto"/>
              <w:left w:val="double" w:sz="4" w:space="0" w:color="auto"/>
              <w:bottom w:val="double" w:sz="4" w:space="0" w:color="auto"/>
              <w:right w:val="nil"/>
            </w:tcBorders>
            <w:tcMar>
              <w:top w:w="0" w:type="dxa"/>
              <w:left w:w="108" w:type="dxa"/>
              <w:bottom w:w="0" w:type="dxa"/>
              <w:right w:w="108" w:type="dxa"/>
            </w:tcMar>
            <w:hideMark/>
          </w:tcPr>
          <w:p w:rsidR="00AB59D5" w:rsidRPr="00AB59D5" w:rsidRDefault="00AB59D5">
            <w:pPr>
              <w:pStyle w:val="Body"/>
              <w:rPr>
                <w:rFonts w:ascii="Times New Roman" w:hAnsi="Times New Roman" w:cs="Times New Roman"/>
                <w:color w:val="000000"/>
              </w:rPr>
            </w:pPr>
            <w:r w:rsidRPr="00AB59D5">
              <w:rPr>
                <w:rFonts w:ascii="Times New Roman" w:hAnsi="Times New Roman" w:cs="Times New Roman"/>
                <w:color w:val="000000"/>
              </w:rPr>
              <w:t>American Academy of Pediatrics</w:t>
            </w:r>
          </w:p>
          <w:p w:rsidR="00AB59D5" w:rsidRPr="00AB59D5" w:rsidRDefault="00AB59D5">
            <w:pPr>
              <w:pStyle w:val="Body"/>
              <w:rPr>
                <w:rFonts w:ascii="Times New Roman" w:hAnsi="Times New Roman" w:cs="Times New Roman"/>
                <w:color w:val="000000"/>
              </w:rPr>
            </w:pPr>
            <w:r w:rsidRPr="00AB59D5">
              <w:rPr>
                <w:rFonts w:ascii="Times New Roman" w:hAnsi="Times New Roman" w:cs="Times New Roman"/>
                <w:color w:val="000000"/>
              </w:rPr>
              <w:t>AAP Developmental and Behavioral Pediatrics</w:t>
            </w:r>
          </w:p>
          <w:p w:rsidR="00AB59D5" w:rsidRPr="00AB59D5" w:rsidRDefault="00AB59D5">
            <w:pPr>
              <w:pStyle w:val="Body"/>
              <w:rPr>
                <w:rFonts w:ascii="Times New Roman" w:hAnsi="Times New Roman" w:cs="Times New Roman"/>
                <w:color w:val="000000"/>
              </w:rPr>
            </w:pPr>
            <w:r w:rsidRPr="00AB59D5">
              <w:rPr>
                <w:rFonts w:ascii="Times New Roman" w:hAnsi="Times New Roman" w:cs="Times New Roman"/>
                <w:color w:val="000000"/>
              </w:rPr>
              <w:t>American Academy of Family Physicians</w:t>
            </w:r>
          </w:p>
          <w:p w:rsidR="00AB59D5" w:rsidRDefault="00AB59D5">
            <w:pPr>
              <w:pStyle w:val="Body"/>
              <w:rPr>
                <w:rFonts w:ascii="Times New Roman" w:hAnsi="Times New Roman" w:cs="Times New Roman"/>
                <w:color w:val="000000"/>
              </w:rPr>
            </w:pPr>
            <w:r w:rsidRPr="00AB59D5">
              <w:rPr>
                <w:rFonts w:ascii="Times New Roman" w:hAnsi="Times New Roman" w:cs="Times New Roman"/>
                <w:color w:val="000000"/>
              </w:rPr>
              <w:t xml:space="preserve">CDC Act Early </w:t>
            </w:r>
          </w:p>
          <w:p w:rsidR="00AB59D5" w:rsidRDefault="00AB59D5">
            <w:pPr>
              <w:pStyle w:val="Body"/>
              <w:ind w:left="1332" w:hanging="1350"/>
              <w:rPr>
                <w:rFonts w:ascii="Times New Roman" w:hAnsi="Times New Roman" w:cs="Times New Roman"/>
                <w:color w:val="000000"/>
              </w:rPr>
            </w:pPr>
            <w:r w:rsidRPr="00AB59D5">
              <w:rPr>
                <w:rFonts w:ascii="Times New Roman" w:hAnsi="Times New Roman" w:cs="Times New Roman"/>
                <w:color w:val="000000"/>
              </w:rPr>
              <w:t>Family Voices (Links to national and state family support networks)</w:t>
            </w:r>
          </w:p>
          <w:p w:rsidR="00545D9A" w:rsidRDefault="006370E8" w:rsidP="006370E8">
            <w:pPr>
              <w:pStyle w:val="Body"/>
              <w:rPr>
                <w:rFonts w:ascii="Times New Roman" w:hAnsi="Times New Roman" w:cs="Times New Roman"/>
                <w:color w:val="000000"/>
              </w:rPr>
            </w:pPr>
            <w:r w:rsidRPr="006370E8">
              <w:rPr>
                <w:rFonts w:ascii="Times New Roman" w:hAnsi="Times New Roman" w:cs="Times New Roman"/>
                <w:color w:val="000000"/>
              </w:rPr>
              <w:t>Nutrition for Children with Special Health Care Needs in WA State</w:t>
            </w:r>
            <w:r>
              <w:rPr>
                <w:rFonts w:ascii="Times New Roman" w:hAnsi="Times New Roman" w:cs="Times New Roman"/>
                <w:color w:val="000000"/>
              </w:rPr>
              <w:t xml:space="preserve"> </w:t>
            </w:r>
          </w:p>
          <w:p w:rsidR="00545D9A" w:rsidRPr="00AB59D5" w:rsidRDefault="00545D9A" w:rsidP="00545D9A">
            <w:pPr>
              <w:pStyle w:val="Body"/>
              <w:numPr>
                <w:ilvl w:val="0"/>
                <w:numId w:val="9"/>
              </w:numPr>
              <w:rPr>
                <w:rFonts w:ascii="Times New Roman" w:hAnsi="Times New Roman" w:cs="Times New Roman"/>
                <w:color w:val="000000"/>
              </w:rPr>
            </w:pPr>
            <w:r w:rsidRPr="0054070A">
              <w:rPr>
                <w:rFonts w:ascii="Times New Roman" w:hAnsi="Times New Roman" w:cs="Times New Roman"/>
                <w:color w:val="000000"/>
              </w:rPr>
              <w:t>CSHCN Nutrition Network</w:t>
            </w:r>
          </w:p>
          <w:p w:rsidR="0054070A" w:rsidRPr="00AB59D5" w:rsidRDefault="0054070A" w:rsidP="00545D9A">
            <w:pPr>
              <w:pStyle w:val="Body"/>
              <w:numPr>
                <w:ilvl w:val="0"/>
                <w:numId w:val="9"/>
              </w:numPr>
              <w:rPr>
                <w:rFonts w:ascii="Times New Roman" w:hAnsi="Times New Roman" w:cs="Times New Roman"/>
                <w:color w:val="000000"/>
              </w:rPr>
            </w:pPr>
            <w:r w:rsidRPr="0054070A">
              <w:rPr>
                <w:rFonts w:ascii="Times New Roman" w:hAnsi="Times New Roman" w:cs="Times New Roman"/>
                <w:color w:val="000000"/>
              </w:rPr>
              <w:t>Washington State Community Feeding Teams</w:t>
            </w:r>
          </w:p>
        </w:tc>
        <w:tc>
          <w:tcPr>
            <w:tcW w:w="4857" w:type="dxa"/>
            <w:tcBorders>
              <w:top w:val="single" w:sz="8" w:space="0" w:color="auto"/>
              <w:left w:val="nil"/>
              <w:bottom w:val="double" w:sz="4" w:space="0" w:color="auto"/>
              <w:right w:val="double" w:sz="4" w:space="0" w:color="auto"/>
            </w:tcBorders>
            <w:tcMar>
              <w:top w:w="0" w:type="dxa"/>
              <w:left w:w="108" w:type="dxa"/>
              <w:bottom w:w="0" w:type="dxa"/>
              <w:right w:w="108" w:type="dxa"/>
            </w:tcMar>
            <w:hideMark/>
          </w:tcPr>
          <w:p w:rsidR="00AB59D5" w:rsidRPr="00AB59D5" w:rsidRDefault="002663C9">
            <w:pPr>
              <w:pStyle w:val="Body"/>
              <w:rPr>
                <w:rFonts w:ascii="Times New Roman" w:hAnsi="Times New Roman" w:cs="Times New Roman"/>
                <w:color w:val="040DBC"/>
                <w:u w:val="single"/>
              </w:rPr>
            </w:pPr>
            <w:hyperlink r:id="rId21" w:history="1">
              <w:r w:rsidR="00AB59D5" w:rsidRPr="00AB59D5">
                <w:rPr>
                  <w:rStyle w:val="Hyperlink"/>
                  <w:rFonts w:ascii="Times New Roman" w:hAnsi="Times New Roman" w:cs="Times New Roman"/>
                  <w:color w:val="040DBC"/>
                </w:rPr>
                <w:t>www.aap.org</w:t>
              </w:r>
            </w:hyperlink>
            <w:r w:rsidR="00AB59D5" w:rsidRPr="00AB59D5">
              <w:rPr>
                <w:rFonts w:ascii="Times New Roman" w:hAnsi="Times New Roman" w:cs="Times New Roman"/>
                <w:color w:val="040DBC"/>
                <w:u w:val="single"/>
              </w:rPr>
              <w:t xml:space="preserve"> </w:t>
            </w:r>
          </w:p>
          <w:p w:rsidR="00AB59D5" w:rsidRPr="00AB59D5" w:rsidRDefault="002663C9">
            <w:pPr>
              <w:pStyle w:val="Body"/>
              <w:rPr>
                <w:rFonts w:ascii="Times New Roman" w:hAnsi="Times New Roman" w:cs="Times New Roman"/>
                <w:color w:val="040DBC"/>
              </w:rPr>
            </w:pPr>
            <w:hyperlink r:id="rId22" w:history="1">
              <w:r w:rsidR="00AB59D5" w:rsidRPr="00AB59D5">
                <w:rPr>
                  <w:rStyle w:val="Hyperlink"/>
                  <w:rFonts w:ascii="Times New Roman" w:hAnsi="Times New Roman" w:cs="Times New Roman"/>
                  <w:color w:val="040DBC"/>
                </w:rPr>
                <w:t>www.dbpeds.org</w:t>
              </w:r>
            </w:hyperlink>
            <w:r w:rsidR="00AB59D5" w:rsidRPr="00AB59D5">
              <w:rPr>
                <w:rFonts w:ascii="Times New Roman" w:hAnsi="Times New Roman" w:cs="Times New Roman"/>
                <w:color w:val="040DBC"/>
              </w:rPr>
              <w:t xml:space="preserve"> </w:t>
            </w:r>
          </w:p>
          <w:p w:rsidR="00AB59D5" w:rsidRPr="00AB59D5" w:rsidRDefault="002663C9">
            <w:pPr>
              <w:pStyle w:val="Body"/>
              <w:rPr>
                <w:rFonts w:ascii="Times New Roman" w:hAnsi="Times New Roman" w:cs="Times New Roman"/>
                <w:color w:val="040DBC"/>
                <w:u w:val="single"/>
              </w:rPr>
            </w:pPr>
            <w:hyperlink r:id="rId23" w:history="1">
              <w:r w:rsidR="00AB59D5" w:rsidRPr="00AB59D5">
                <w:rPr>
                  <w:rStyle w:val="Hyperlink"/>
                  <w:rFonts w:ascii="Times New Roman" w:hAnsi="Times New Roman" w:cs="Times New Roman"/>
                  <w:color w:val="040DBC"/>
                </w:rPr>
                <w:t>www.aafp.org</w:t>
              </w:r>
            </w:hyperlink>
          </w:p>
          <w:p w:rsidR="00AB59D5" w:rsidRDefault="002663C9">
            <w:pPr>
              <w:pStyle w:val="Body"/>
              <w:rPr>
                <w:rFonts w:ascii="Times New Roman" w:hAnsi="Times New Roman" w:cs="Times New Roman"/>
              </w:rPr>
            </w:pPr>
            <w:hyperlink r:id="rId24" w:history="1">
              <w:r w:rsidR="00AB59D5" w:rsidRPr="00AB59D5">
                <w:rPr>
                  <w:rStyle w:val="Hyperlink"/>
                  <w:rFonts w:ascii="Times New Roman" w:hAnsi="Times New Roman" w:cs="Times New Roman"/>
                </w:rPr>
                <w:t>www.cdc.gov/ncbddd/actearly/index.html</w:t>
              </w:r>
            </w:hyperlink>
          </w:p>
          <w:bookmarkStart w:id="0" w:name="_GoBack"/>
          <w:bookmarkEnd w:id="0"/>
          <w:p w:rsidR="00AB59D5" w:rsidRDefault="002663C9" w:rsidP="00AB59D5">
            <w:pPr>
              <w:pStyle w:val="Body"/>
              <w:rPr>
                <w:rFonts w:ascii="Times New Roman" w:hAnsi="Times New Roman" w:cs="Times New Roman"/>
                <w:color w:val="040DBC"/>
                <w:u w:val="single"/>
              </w:rPr>
            </w:pPr>
            <w:r>
              <w:fldChar w:fldCharType="begin"/>
            </w:r>
            <w:r>
              <w:instrText xml:space="preserve"> HYPERLINK "http://www.familyvoices.org" </w:instrText>
            </w:r>
            <w:r>
              <w:fldChar w:fldCharType="separate"/>
            </w:r>
            <w:r w:rsidR="00AB59D5" w:rsidRPr="00AB59D5">
              <w:rPr>
                <w:rStyle w:val="Hyperlink"/>
                <w:rFonts w:ascii="Times New Roman" w:hAnsi="Times New Roman" w:cs="Times New Roman"/>
                <w:color w:val="040DBC"/>
              </w:rPr>
              <w:t>www.familyvoices.org</w:t>
            </w:r>
            <w:r>
              <w:rPr>
                <w:rStyle w:val="Hyperlink"/>
                <w:rFonts w:ascii="Times New Roman" w:hAnsi="Times New Roman" w:cs="Times New Roman"/>
                <w:color w:val="040DBC"/>
              </w:rPr>
              <w:fldChar w:fldCharType="end"/>
            </w:r>
            <w:r w:rsidR="00AB59D5" w:rsidRPr="00AB59D5">
              <w:rPr>
                <w:rFonts w:ascii="Times New Roman" w:hAnsi="Times New Roman" w:cs="Times New Roman"/>
                <w:color w:val="040DBC"/>
                <w:u w:val="single"/>
              </w:rPr>
              <w:t xml:space="preserve"> </w:t>
            </w:r>
          </w:p>
          <w:p w:rsidR="006370E8" w:rsidRDefault="006370E8" w:rsidP="00AB59D5">
            <w:pPr>
              <w:pStyle w:val="Body"/>
              <w:rPr>
                <w:rFonts w:ascii="Times New Roman" w:hAnsi="Times New Roman" w:cs="Times New Roman"/>
                <w:color w:val="040DBC"/>
                <w:u w:val="single"/>
              </w:rPr>
            </w:pPr>
            <w:r w:rsidRPr="006370E8">
              <w:rPr>
                <w:rFonts w:ascii="Times New Roman" w:hAnsi="Times New Roman" w:cs="Times New Roman"/>
                <w:color w:val="040DBC"/>
                <w:u w:val="single"/>
              </w:rPr>
              <w:t>http://depts.washington.edu/cshcnnut/</w:t>
            </w:r>
          </w:p>
          <w:p w:rsidR="00545D9A" w:rsidRPr="00AB59D5" w:rsidRDefault="00545D9A" w:rsidP="00545D9A">
            <w:pPr>
              <w:pStyle w:val="Body"/>
              <w:rPr>
                <w:rFonts w:ascii="Times New Roman" w:hAnsi="Times New Roman" w:cs="Times New Roman"/>
                <w:color w:val="040DBC"/>
              </w:rPr>
            </w:pPr>
            <w:r w:rsidRPr="0054070A">
              <w:rPr>
                <w:rFonts w:ascii="Times New Roman" w:hAnsi="Times New Roman" w:cs="Times New Roman"/>
                <w:color w:val="040DBC"/>
              </w:rPr>
              <w:t>http://depts.washington.edu/cshcnnut/nutnet/index.html</w:t>
            </w:r>
          </w:p>
          <w:p w:rsidR="0054070A" w:rsidRPr="00AB59D5" w:rsidRDefault="0054070A" w:rsidP="00AB59D5">
            <w:pPr>
              <w:pStyle w:val="Body"/>
              <w:rPr>
                <w:rFonts w:ascii="Times New Roman" w:hAnsi="Times New Roman" w:cs="Times New Roman"/>
                <w:color w:val="040DBC"/>
                <w:u w:val="single"/>
              </w:rPr>
            </w:pPr>
            <w:r w:rsidRPr="0054070A">
              <w:rPr>
                <w:rFonts w:ascii="Times New Roman" w:hAnsi="Times New Roman" w:cs="Times New Roman"/>
                <w:color w:val="040DBC"/>
                <w:u w:val="single"/>
              </w:rPr>
              <w:t>http://depts.washington.edu/cshcnnut/feeding/index.html</w:t>
            </w:r>
          </w:p>
        </w:tc>
      </w:tr>
    </w:tbl>
    <w:p w:rsidR="00AB59D5" w:rsidRPr="00590131" w:rsidRDefault="00AB59D5" w:rsidP="00590131">
      <w:pPr>
        <w:rPr>
          <w:color w:val="1F497D"/>
          <w:sz w:val="4"/>
          <w:szCs w:val="4"/>
        </w:rPr>
      </w:pPr>
    </w:p>
    <w:sectPr w:rsidR="00AB59D5" w:rsidRPr="00590131" w:rsidSect="00BE205D">
      <w:pgSz w:w="12240" w:h="15840"/>
      <w:pgMar w:top="720" w:right="864" w:bottom="576" w:left="864"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E25" w:rsidRDefault="00387E25" w:rsidP="00BE205D">
      <w:r>
        <w:separator/>
      </w:r>
    </w:p>
  </w:endnote>
  <w:endnote w:type="continuationSeparator" w:id="0">
    <w:p w:rsidR="00387E25" w:rsidRDefault="00387E25" w:rsidP="00BE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E25" w:rsidRDefault="00387E25" w:rsidP="00BE205D">
      <w:r>
        <w:separator/>
      </w:r>
    </w:p>
  </w:footnote>
  <w:footnote w:type="continuationSeparator" w:id="0">
    <w:p w:rsidR="00387E25" w:rsidRDefault="00387E25" w:rsidP="00BE2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DC88BF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5E7CA4"/>
    <w:multiLevelType w:val="hybridMultilevel"/>
    <w:tmpl w:val="FF1EDB6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82852"/>
    <w:multiLevelType w:val="hybridMultilevel"/>
    <w:tmpl w:val="04DCC6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FA78F5"/>
    <w:multiLevelType w:val="hybridMultilevel"/>
    <w:tmpl w:val="6B34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45DDF"/>
    <w:multiLevelType w:val="hybridMultilevel"/>
    <w:tmpl w:val="FB5C8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277C8"/>
    <w:multiLevelType w:val="hybridMultilevel"/>
    <w:tmpl w:val="E6A037EA"/>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67550082"/>
    <w:multiLevelType w:val="hybridMultilevel"/>
    <w:tmpl w:val="D896A88E"/>
    <w:lvl w:ilvl="0" w:tplc="44DAD2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4339C1"/>
    <w:multiLevelType w:val="hybridMultilevel"/>
    <w:tmpl w:val="B298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CB6557"/>
    <w:multiLevelType w:val="hybridMultilevel"/>
    <w:tmpl w:val="0330A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E60A8"/>
    <w:rsid w:val="00030C76"/>
    <w:rsid w:val="00067B57"/>
    <w:rsid w:val="00073142"/>
    <w:rsid w:val="000F7FB5"/>
    <w:rsid w:val="0010129E"/>
    <w:rsid w:val="00152144"/>
    <w:rsid w:val="001820B9"/>
    <w:rsid w:val="001920B5"/>
    <w:rsid w:val="001F1F8E"/>
    <w:rsid w:val="00243C24"/>
    <w:rsid w:val="0024415E"/>
    <w:rsid w:val="002663C9"/>
    <w:rsid w:val="002B3794"/>
    <w:rsid w:val="002C38B6"/>
    <w:rsid w:val="002C39FD"/>
    <w:rsid w:val="003136B0"/>
    <w:rsid w:val="00315271"/>
    <w:rsid w:val="003533A9"/>
    <w:rsid w:val="00387E25"/>
    <w:rsid w:val="00392AE3"/>
    <w:rsid w:val="004A7B0D"/>
    <w:rsid w:val="00525D9E"/>
    <w:rsid w:val="0054070A"/>
    <w:rsid w:val="00543CAF"/>
    <w:rsid w:val="00545D9A"/>
    <w:rsid w:val="005553FA"/>
    <w:rsid w:val="00590131"/>
    <w:rsid w:val="00590838"/>
    <w:rsid w:val="00594F5B"/>
    <w:rsid w:val="005A30FF"/>
    <w:rsid w:val="005A7789"/>
    <w:rsid w:val="005C23CF"/>
    <w:rsid w:val="005E1437"/>
    <w:rsid w:val="006370E8"/>
    <w:rsid w:val="00650C9B"/>
    <w:rsid w:val="00694615"/>
    <w:rsid w:val="006A35F7"/>
    <w:rsid w:val="006C5342"/>
    <w:rsid w:val="006D0191"/>
    <w:rsid w:val="006D79BE"/>
    <w:rsid w:val="006E60A8"/>
    <w:rsid w:val="007075D9"/>
    <w:rsid w:val="00721DD6"/>
    <w:rsid w:val="00732737"/>
    <w:rsid w:val="00752408"/>
    <w:rsid w:val="00766C77"/>
    <w:rsid w:val="007804F7"/>
    <w:rsid w:val="007875A0"/>
    <w:rsid w:val="007A3D7C"/>
    <w:rsid w:val="007A7F65"/>
    <w:rsid w:val="007B6655"/>
    <w:rsid w:val="007C2475"/>
    <w:rsid w:val="007E45EE"/>
    <w:rsid w:val="00864DC6"/>
    <w:rsid w:val="0087247E"/>
    <w:rsid w:val="00882ABF"/>
    <w:rsid w:val="008F64E4"/>
    <w:rsid w:val="009021F5"/>
    <w:rsid w:val="00914784"/>
    <w:rsid w:val="00976C4C"/>
    <w:rsid w:val="00986707"/>
    <w:rsid w:val="009E0298"/>
    <w:rsid w:val="00A16382"/>
    <w:rsid w:val="00A16789"/>
    <w:rsid w:val="00A30CC2"/>
    <w:rsid w:val="00A54D5A"/>
    <w:rsid w:val="00A83BF8"/>
    <w:rsid w:val="00AB59D5"/>
    <w:rsid w:val="00AB6DDA"/>
    <w:rsid w:val="00B2026E"/>
    <w:rsid w:val="00B20409"/>
    <w:rsid w:val="00B87B67"/>
    <w:rsid w:val="00BA5B8A"/>
    <w:rsid w:val="00BE205D"/>
    <w:rsid w:val="00BE3B55"/>
    <w:rsid w:val="00BE791C"/>
    <w:rsid w:val="00C03753"/>
    <w:rsid w:val="00C05B21"/>
    <w:rsid w:val="00C11E0F"/>
    <w:rsid w:val="00C3062E"/>
    <w:rsid w:val="00C66C28"/>
    <w:rsid w:val="00C90CD8"/>
    <w:rsid w:val="00CB70A1"/>
    <w:rsid w:val="00CC73CC"/>
    <w:rsid w:val="00D06534"/>
    <w:rsid w:val="00D218E6"/>
    <w:rsid w:val="00D54E66"/>
    <w:rsid w:val="00DA55A3"/>
    <w:rsid w:val="00DB4450"/>
    <w:rsid w:val="00DC0AC4"/>
    <w:rsid w:val="00DD26F2"/>
    <w:rsid w:val="00DF5C4E"/>
    <w:rsid w:val="00E102A4"/>
    <w:rsid w:val="00E10BE7"/>
    <w:rsid w:val="00E966F4"/>
    <w:rsid w:val="00EB6C98"/>
    <w:rsid w:val="00EC091E"/>
    <w:rsid w:val="00EC5F20"/>
    <w:rsid w:val="00ED5741"/>
    <w:rsid w:val="00F11A0D"/>
    <w:rsid w:val="00F426F2"/>
    <w:rsid w:val="00F43C58"/>
    <w:rsid w:val="00F46290"/>
    <w:rsid w:val="00F57C36"/>
    <w:rsid w:val="00F61F3B"/>
    <w:rsid w:val="00FF0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B21"/>
    <w:rPr>
      <w:sz w:val="24"/>
      <w:szCs w:val="24"/>
      <w:lang w:eastAsia="en-US"/>
    </w:rPr>
  </w:style>
  <w:style w:type="paragraph" w:styleId="Heading1">
    <w:name w:val="heading 1"/>
    <w:basedOn w:val="Normal"/>
    <w:next w:val="Normal"/>
    <w:link w:val="Heading1Char"/>
    <w:qFormat/>
    <w:rsid w:val="00D218E6"/>
    <w:pPr>
      <w:keepNext/>
      <w:spacing w:before="40" w:after="120"/>
      <w:outlineLvl w:val="0"/>
    </w:pPr>
    <w:rPr>
      <w:rFonts w:ascii="Helvetica" w:eastAsia="Times" w:hAnsi="Helvetica"/>
      <w:b/>
      <w:smallCaps/>
      <w:kern w:val="28"/>
      <w:sz w:val="40"/>
      <w:szCs w:val="20"/>
    </w:rPr>
  </w:style>
  <w:style w:type="paragraph" w:styleId="Heading3">
    <w:name w:val="heading 3"/>
    <w:basedOn w:val="Normal"/>
    <w:next w:val="Normal"/>
    <w:link w:val="Heading3Char"/>
    <w:uiPriority w:val="9"/>
    <w:semiHidden/>
    <w:unhideWhenUsed/>
    <w:qFormat/>
    <w:rsid w:val="00AB59D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218E6"/>
    <w:pPr>
      <w:keepNext/>
      <w:spacing w:after="60"/>
      <w:outlineLvl w:val="4"/>
    </w:pPr>
    <w:rPr>
      <w:rFonts w:ascii="Arial" w:eastAsia="Times New Roman" w:hAnsi="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E66"/>
    <w:pPr>
      <w:ind w:left="720"/>
      <w:contextualSpacing/>
    </w:pPr>
  </w:style>
  <w:style w:type="character" w:styleId="Hyperlink">
    <w:name w:val="Hyperlink"/>
    <w:basedOn w:val="DefaultParagraphFont"/>
    <w:uiPriority w:val="99"/>
    <w:unhideWhenUsed/>
    <w:rsid w:val="00721DD6"/>
    <w:rPr>
      <w:color w:val="0000FF" w:themeColor="hyperlink"/>
      <w:u w:val="single"/>
    </w:rPr>
  </w:style>
  <w:style w:type="character" w:styleId="FollowedHyperlink">
    <w:name w:val="FollowedHyperlink"/>
    <w:basedOn w:val="DefaultParagraphFont"/>
    <w:uiPriority w:val="99"/>
    <w:semiHidden/>
    <w:unhideWhenUsed/>
    <w:rsid w:val="00525D9E"/>
    <w:rPr>
      <w:color w:val="800080" w:themeColor="followedHyperlink"/>
      <w:u w:val="single"/>
    </w:rPr>
  </w:style>
  <w:style w:type="character" w:styleId="CommentReference">
    <w:name w:val="annotation reference"/>
    <w:basedOn w:val="DefaultParagraphFont"/>
    <w:uiPriority w:val="99"/>
    <w:semiHidden/>
    <w:unhideWhenUsed/>
    <w:rsid w:val="00882ABF"/>
    <w:rPr>
      <w:sz w:val="16"/>
      <w:szCs w:val="16"/>
    </w:rPr>
  </w:style>
  <w:style w:type="paragraph" w:styleId="CommentText">
    <w:name w:val="annotation text"/>
    <w:basedOn w:val="Normal"/>
    <w:link w:val="CommentTextChar"/>
    <w:uiPriority w:val="99"/>
    <w:semiHidden/>
    <w:unhideWhenUsed/>
    <w:rsid w:val="00882ABF"/>
    <w:rPr>
      <w:sz w:val="20"/>
      <w:szCs w:val="20"/>
    </w:rPr>
  </w:style>
  <w:style w:type="character" w:customStyle="1" w:styleId="CommentTextChar">
    <w:name w:val="Comment Text Char"/>
    <w:basedOn w:val="DefaultParagraphFont"/>
    <w:link w:val="CommentText"/>
    <w:uiPriority w:val="99"/>
    <w:semiHidden/>
    <w:rsid w:val="00882ABF"/>
    <w:rPr>
      <w:lang w:eastAsia="en-US"/>
    </w:rPr>
  </w:style>
  <w:style w:type="paragraph" w:styleId="CommentSubject">
    <w:name w:val="annotation subject"/>
    <w:basedOn w:val="CommentText"/>
    <w:next w:val="CommentText"/>
    <w:link w:val="CommentSubjectChar"/>
    <w:uiPriority w:val="99"/>
    <w:semiHidden/>
    <w:unhideWhenUsed/>
    <w:rsid w:val="00882ABF"/>
    <w:rPr>
      <w:b/>
      <w:bCs/>
    </w:rPr>
  </w:style>
  <w:style w:type="character" w:customStyle="1" w:styleId="CommentSubjectChar">
    <w:name w:val="Comment Subject Char"/>
    <w:basedOn w:val="CommentTextChar"/>
    <w:link w:val="CommentSubject"/>
    <w:uiPriority w:val="99"/>
    <w:semiHidden/>
    <w:rsid w:val="00882ABF"/>
    <w:rPr>
      <w:b/>
      <w:bCs/>
      <w:lang w:eastAsia="en-US"/>
    </w:rPr>
  </w:style>
  <w:style w:type="paragraph" w:styleId="BalloonText">
    <w:name w:val="Balloon Text"/>
    <w:basedOn w:val="Normal"/>
    <w:link w:val="BalloonTextChar"/>
    <w:uiPriority w:val="99"/>
    <w:semiHidden/>
    <w:unhideWhenUsed/>
    <w:rsid w:val="00882ABF"/>
    <w:rPr>
      <w:rFonts w:ascii="Tahoma" w:hAnsi="Tahoma" w:cs="Tahoma"/>
      <w:sz w:val="16"/>
      <w:szCs w:val="16"/>
    </w:rPr>
  </w:style>
  <w:style w:type="character" w:customStyle="1" w:styleId="BalloonTextChar">
    <w:name w:val="Balloon Text Char"/>
    <w:basedOn w:val="DefaultParagraphFont"/>
    <w:link w:val="BalloonText"/>
    <w:uiPriority w:val="99"/>
    <w:semiHidden/>
    <w:rsid w:val="00882ABF"/>
    <w:rPr>
      <w:rFonts w:ascii="Tahoma" w:hAnsi="Tahoma" w:cs="Tahoma"/>
      <w:sz w:val="16"/>
      <w:szCs w:val="16"/>
      <w:lang w:eastAsia="en-US"/>
    </w:rPr>
  </w:style>
  <w:style w:type="table" w:styleId="TableGrid">
    <w:name w:val="Table Grid"/>
    <w:basedOn w:val="TableNormal"/>
    <w:uiPriority w:val="59"/>
    <w:rsid w:val="006D7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218E6"/>
    <w:rPr>
      <w:rFonts w:ascii="Helvetica" w:eastAsia="Times" w:hAnsi="Helvetica"/>
      <w:b/>
      <w:smallCaps/>
      <w:kern w:val="28"/>
      <w:sz w:val="40"/>
      <w:lang w:eastAsia="en-US"/>
    </w:rPr>
  </w:style>
  <w:style w:type="character" w:customStyle="1" w:styleId="Heading5Char">
    <w:name w:val="Heading 5 Char"/>
    <w:basedOn w:val="DefaultParagraphFont"/>
    <w:link w:val="Heading5"/>
    <w:rsid w:val="00D218E6"/>
    <w:rPr>
      <w:rFonts w:ascii="Arial" w:eastAsia="Times New Roman" w:hAnsi="Arial"/>
      <w:b/>
      <w:smallCaps/>
      <w:sz w:val="28"/>
      <w:lang w:eastAsia="en-US"/>
    </w:rPr>
  </w:style>
  <w:style w:type="paragraph" w:styleId="BodyText2">
    <w:name w:val="Body Text 2"/>
    <w:aliases w:val="Arial 9t Italic"/>
    <w:link w:val="BodyText2Char"/>
    <w:autoRedefine/>
    <w:semiHidden/>
    <w:rsid w:val="00D218E6"/>
    <w:pPr>
      <w:spacing w:after="120"/>
    </w:pPr>
    <w:rPr>
      <w:rFonts w:eastAsia="Times New Roman"/>
      <w:noProof/>
      <w:lang w:eastAsia="en-US"/>
    </w:rPr>
  </w:style>
  <w:style w:type="character" w:customStyle="1" w:styleId="BodyText2Char">
    <w:name w:val="Body Text 2 Char"/>
    <w:aliases w:val="Arial 9t Italic Char"/>
    <w:basedOn w:val="DefaultParagraphFont"/>
    <w:link w:val="BodyText2"/>
    <w:semiHidden/>
    <w:rsid w:val="00D218E6"/>
    <w:rPr>
      <w:rFonts w:eastAsia="Times New Roman"/>
      <w:noProof/>
      <w:lang w:eastAsia="en-US"/>
    </w:rPr>
  </w:style>
  <w:style w:type="paragraph" w:styleId="BodyText">
    <w:name w:val="Body Text"/>
    <w:basedOn w:val="Normal"/>
    <w:link w:val="BodyTextChar"/>
    <w:semiHidden/>
    <w:rsid w:val="00D218E6"/>
    <w:rPr>
      <w:rFonts w:ascii="Arial" w:eastAsia="Times" w:hAnsi="Arial" w:cs="Arial"/>
      <w:i/>
      <w:iCs/>
      <w:sz w:val="18"/>
      <w:szCs w:val="20"/>
    </w:rPr>
  </w:style>
  <w:style w:type="character" w:customStyle="1" w:styleId="BodyTextChar">
    <w:name w:val="Body Text Char"/>
    <w:basedOn w:val="DefaultParagraphFont"/>
    <w:link w:val="BodyText"/>
    <w:semiHidden/>
    <w:rsid w:val="00D218E6"/>
    <w:rPr>
      <w:rFonts w:ascii="Arial" w:eastAsia="Times" w:hAnsi="Arial" w:cs="Arial"/>
      <w:i/>
      <w:iCs/>
      <w:sz w:val="18"/>
      <w:lang w:eastAsia="en-US"/>
    </w:rPr>
  </w:style>
  <w:style w:type="character" w:styleId="Strong">
    <w:name w:val="Strong"/>
    <w:uiPriority w:val="22"/>
    <w:qFormat/>
    <w:rsid w:val="00D218E6"/>
    <w:rPr>
      <w:b/>
      <w:bCs/>
    </w:rPr>
  </w:style>
  <w:style w:type="paragraph" w:styleId="Header">
    <w:name w:val="header"/>
    <w:basedOn w:val="Normal"/>
    <w:link w:val="HeaderChar"/>
    <w:uiPriority w:val="99"/>
    <w:unhideWhenUsed/>
    <w:rsid w:val="00BE205D"/>
    <w:pPr>
      <w:tabs>
        <w:tab w:val="center" w:pos="4680"/>
        <w:tab w:val="right" w:pos="9360"/>
      </w:tabs>
    </w:pPr>
  </w:style>
  <w:style w:type="character" w:customStyle="1" w:styleId="HeaderChar">
    <w:name w:val="Header Char"/>
    <w:basedOn w:val="DefaultParagraphFont"/>
    <w:link w:val="Header"/>
    <w:uiPriority w:val="99"/>
    <w:rsid w:val="00BE205D"/>
    <w:rPr>
      <w:sz w:val="24"/>
      <w:szCs w:val="24"/>
      <w:lang w:eastAsia="en-US"/>
    </w:rPr>
  </w:style>
  <w:style w:type="paragraph" w:styleId="Footer">
    <w:name w:val="footer"/>
    <w:basedOn w:val="Normal"/>
    <w:link w:val="FooterChar"/>
    <w:uiPriority w:val="99"/>
    <w:unhideWhenUsed/>
    <w:rsid w:val="00BE205D"/>
    <w:pPr>
      <w:tabs>
        <w:tab w:val="center" w:pos="4680"/>
        <w:tab w:val="right" w:pos="9360"/>
      </w:tabs>
    </w:pPr>
  </w:style>
  <w:style w:type="character" w:customStyle="1" w:styleId="FooterChar">
    <w:name w:val="Footer Char"/>
    <w:basedOn w:val="DefaultParagraphFont"/>
    <w:link w:val="Footer"/>
    <w:uiPriority w:val="99"/>
    <w:rsid w:val="00BE205D"/>
    <w:rPr>
      <w:sz w:val="24"/>
      <w:szCs w:val="24"/>
      <w:lang w:eastAsia="en-US"/>
    </w:rPr>
  </w:style>
  <w:style w:type="character" w:customStyle="1" w:styleId="Heading3Char">
    <w:name w:val="Heading 3 Char"/>
    <w:basedOn w:val="DefaultParagraphFont"/>
    <w:link w:val="Heading3"/>
    <w:uiPriority w:val="9"/>
    <w:semiHidden/>
    <w:rsid w:val="00AB59D5"/>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rsid w:val="00AB59D5"/>
    <w:pPr>
      <w:spacing w:before="100" w:beforeAutospacing="1" w:after="100" w:afterAutospacing="1"/>
    </w:pPr>
    <w:rPr>
      <w:rFonts w:eastAsiaTheme="minorHAnsi"/>
    </w:rPr>
  </w:style>
  <w:style w:type="paragraph" w:customStyle="1" w:styleId="Body">
    <w:name w:val="Body"/>
    <w:basedOn w:val="Normal"/>
    <w:uiPriority w:val="99"/>
    <w:semiHidden/>
    <w:rsid w:val="00AB59D5"/>
    <w:rPr>
      <w:rFonts w:ascii="Arial" w:eastAsiaTheme="minorHAns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18E6"/>
    <w:pPr>
      <w:keepNext/>
      <w:spacing w:before="40" w:after="120"/>
      <w:outlineLvl w:val="0"/>
    </w:pPr>
    <w:rPr>
      <w:rFonts w:ascii="Helvetica" w:eastAsia="Times" w:hAnsi="Helvetica"/>
      <w:b/>
      <w:smallCaps/>
      <w:kern w:val="28"/>
      <w:sz w:val="40"/>
      <w:szCs w:val="20"/>
    </w:rPr>
  </w:style>
  <w:style w:type="paragraph" w:styleId="Heading3">
    <w:name w:val="heading 3"/>
    <w:basedOn w:val="Normal"/>
    <w:next w:val="Normal"/>
    <w:link w:val="Heading3Char"/>
    <w:uiPriority w:val="9"/>
    <w:semiHidden/>
    <w:unhideWhenUsed/>
    <w:qFormat/>
    <w:rsid w:val="00AB59D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218E6"/>
    <w:pPr>
      <w:keepNext/>
      <w:spacing w:after="60"/>
      <w:outlineLvl w:val="4"/>
    </w:pPr>
    <w:rPr>
      <w:rFonts w:ascii="Arial" w:eastAsia="Times New Roman" w:hAnsi="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E66"/>
    <w:pPr>
      <w:ind w:left="720"/>
      <w:contextualSpacing/>
    </w:pPr>
  </w:style>
  <w:style w:type="character" w:styleId="Hyperlink">
    <w:name w:val="Hyperlink"/>
    <w:basedOn w:val="DefaultParagraphFont"/>
    <w:uiPriority w:val="99"/>
    <w:unhideWhenUsed/>
    <w:rsid w:val="00721DD6"/>
    <w:rPr>
      <w:color w:val="0000FF" w:themeColor="hyperlink"/>
      <w:u w:val="single"/>
    </w:rPr>
  </w:style>
  <w:style w:type="character" w:styleId="FollowedHyperlink">
    <w:name w:val="FollowedHyperlink"/>
    <w:basedOn w:val="DefaultParagraphFont"/>
    <w:uiPriority w:val="99"/>
    <w:semiHidden/>
    <w:unhideWhenUsed/>
    <w:rsid w:val="00525D9E"/>
    <w:rPr>
      <w:color w:val="800080" w:themeColor="followedHyperlink"/>
      <w:u w:val="single"/>
    </w:rPr>
  </w:style>
  <w:style w:type="character" w:styleId="CommentReference">
    <w:name w:val="annotation reference"/>
    <w:basedOn w:val="DefaultParagraphFont"/>
    <w:uiPriority w:val="99"/>
    <w:semiHidden/>
    <w:unhideWhenUsed/>
    <w:rsid w:val="00882ABF"/>
    <w:rPr>
      <w:sz w:val="16"/>
      <w:szCs w:val="16"/>
    </w:rPr>
  </w:style>
  <w:style w:type="paragraph" w:styleId="CommentText">
    <w:name w:val="annotation text"/>
    <w:basedOn w:val="Normal"/>
    <w:link w:val="CommentTextChar"/>
    <w:uiPriority w:val="99"/>
    <w:semiHidden/>
    <w:unhideWhenUsed/>
    <w:rsid w:val="00882ABF"/>
    <w:rPr>
      <w:sz w:val="20"/>
      <w:szCs w:val="20"/>
    </w:rPr>
  </w:style>
  <w:style w:type="character" w:customStyle="1" w:styleId="CommentTextChar">
    <w:name w:val="Comment Text Char"/>
    <w:basedOn w:val="DefaultParagraphFont"/>
    <w:link w:val="CommentText"/>
    <w:uiPriority w:val="99"/>
    <w:semiHidden/>
    <w:rsid w:val="00882ABF"/>
    <w:rPr>
      <w:lang w:eastAsia="en-US"/>
    </w:rPr>
  </w:style>
  <w:style w:type="paragraph" w:styleId="CommentSubject">
    <w:name w:val="annotation subject"/>
    <w:basedOn w:val="CommentText"/>
    <w:next w:val="CommentText"/>
    <w:link w:val="CommentSubjectChar"/>
    <w:uiPriority w:val="99"/>
    <w:semiHidden/>
    <w:unhideWhenUsed/>
    <w:rsid w:val="00882ABF"/>
    <w:rPr>
      <w:b/>
      <w:bCs/>
    </w:rPr>
  </w:style>
  <w:style w:type="character" w:customStyle="1" w:styleId="CommentSubjectChar">
    <w:name w:val="Comment Subject Char"/>
    <w:basedOn w:val="CommentTextChar"/>
    <w:link w:val="CommentSubject"/>
    <w:uiPriority w:val="99"/>
    <w:semiHidden/>
    <w:rsid w:val="00882ABF"/>
    <w:rPr>
      <w:b/>
      <w:bCs/>
      <w:lang w:eastAsia="en-US"/>
    </w:rPr>
  </w:style>
  <w:style w:type="paragraph" w:styleId="BalloonText">
    <w:name w:val="Balloon Text"/>
    <w:basedOn w:val="Normal"/>
    <w:link w:val="BalloonTextChar"/>
    <w:uiPriority w:val="99"/>
    <w:semiHidden/>
    <w:unhideWhenUsed/>
    <w:rsid w:val="00882ABF"/>
    <w:rPr>
      <w:rFonts w:ascii="Tahoma" w:hAnsi="Tahoma" w:cs="Tahoma"/>
      <w:sz w:val="16"/>
      <w:szCs w:val="16"/>
    </w:rPr>
  </w:style>
  <w:style w:type="character" w:customStyle="1" w:styleId="BalloonTextChar">
    <w:name w:val="Balloon Text Char"/>
    <w:basedOn w:val="DefaultParagraphFont"/>
    <w:link w:val="BalloonText"/>
    <w:uiPriority w:val="99"/>
    <w:semiHidden/>
    <w:rsid w:val="00882ABF"/>
    <w:rPr>
      <w:rFonts w:ascii="Tahoma" w:hAnsi="Tahoma" w:cs="Tahoma"/>
      <w:sz w:val="16"/>
      <w:szCs w:val="16"/>
      <w:lang w:eastAsia="en-US"/>
    </w:rPr>
  </w:style>
  <w:style w:type="table" w:styleId="TableGrid">
    <w:name w:val="Table Grid"/>
    <w:basedOn w:val="TableNormal"/>
    <w:uiPriority w:val="59"/>
    <w:rsid w:val="006D7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218E6"/>
    <w:rPr>
      <w:rFonts w:ascii="Helvetica" w:eastAsia="Times" w:hAnsi="Helvetica"/>
      <w:b/>
      <w:smallCaps/>
      <w:kern w:val="28"/>
      <w:sz w:val="40"/>
      <w:lang w:eastAsia="en-US"/>
    </w:rPr>
  </w:style>
  <w:style w:type="character" w:customStyle="1" w:styleId="Heading5Char">
    <w:name w:val="Heading 5 Char"/>
    <w:basedOn w:val="DefaultParagraphFont"/>
    <w:link w:val="Heading5"/>
    <w:rsid w:val="00D218E6"/>
    <w:rPr>
      <w:rFonts w:ascii="Arial" w:eastAsia="Times New Roman" w:hAnsi="Arial"/>
      <w:b/>
      <w:smallCaps/>
      <w:sz w:val="28"/>
      <w:lang w:eastAsia="en-US"/>
    </w:rPr>
  </w:style>
  <w:style w:type="paragraph" w:styleId="BodyText2">
    <w:name w:val="Body Text 2"/>
    <w:aliases w:val="Arial 9t Italic"/>
    <w:link w:val="BodyText2Char"/>
    <w:autoRedefine/>
    <w:semiHidden/>
    <w:rsid w:val="00D218E6"/>
    <w:pPr>
      <w:spacing w:after="120"/>
    </w:pPr>
    <w:rPr>
      <w:rFonts w:eastAsia="Times New Roman"/>
      <w:noProof/>
      <w:lang w:eastAsia="en-US"/>
    </w:rPr>
  </w:style>
  <w:style w:type="character" w:customStyle="1" w:styleId="BodyText2Char">
    <w:name w:val="Body Text 2 Char"/>
    <w:aliases w:val="Arial 9t Italic Char"/>
    <w:basedOn w:val="DefaultParagraphFont"/>
    <w:link w:val="BodyText2"/>
    <w:semiHidden/>
    <w:rsid w:val="00D218E6"/>
    <w:rPr>
      <w:rFonts w:eastAsia="Times New Roman"/>
      <w:noProof/>
      <w:lang w:eastAsia="en-US"/>
    </w:rPr>
  </w:style>
  <w:style w:type="paragraph" w:styleId="BodyText">
    <w:name w:val="Body Text"/>
    <w:basedOn w:val="Normal"/>
    <w:link w:val="BodyTextChar"/>
    <w:semiHidden/>
    <w:rsid w:val="00D218E6"/>
    <w:rPr>
      <w:rFonts w:ascii="Arial" w:eastAsia="Times" w:hAnsi="Arial" w:cs="Arial"/>
      <w:i/>
      <w:iCs/>
      <w:sz w:val="18"/>
      <w:szCs w:val="20"/>
    </w:rPr>
  </w:style>
  <w:style w:type="character" w:customStyle="1" w:styleId="BodyTextChar">
    <w:name w:val="Body Text Char"/>
    <w:basedOn w:val="DefaultParagraphFont"/>
    <w:link w:val="BodyText"/>
    <w:semiHidden/>
    <w:rsid w:val="00D218E6"/>
    <w:rPr>
      <w:rFonts w:ascii="Arial" w:eastAsia="Times" w:hAnsi="Arial" w:cs="Arial"/>
      <w:i/>
      <w:iCs/>
      <w:sz w:val="18"/>
      <w:lang w:eastAsia="en-US"/>
    </w:rPr>
  </w:style>
  <w:style w:type="character" w:styleId="Strong">
    <w:name w:val="Strong"/>
    <w:uiPriority w:val="22"/>
    <w:qFormat/>
    <w:rsid w:val="00D218E6"/>
    <w:rPr>
      <w:b/>
      <w:bCs/>
    </w:rPr>
  </w:style>
  <w:style w:type="paragraph" w:styleId="Header">
    <w:name w:val="header"/>
    <w:basedOn w:val="Normal"/>
    <w:link w:val="HeaderChar"/>
    <w:uiPriority w:val="99"/>
    <w:unhideWhenUsed/>
    <w:rsid w:val="00BE205D"/>
    <w:pPr>
      <w:tabs>
        <w:tab w:val="center" w:pos="4680"/>
        <w:tab w:val="right" w:pos="9360"/>
      </w:tabs>
    </w:pPr>
  </w:style>
  <w:style w:type="character" w:customStyle="1" w:styleId="HeaderChar">
    <w:name w:val="Header Char"/>
    <w:basedOn w:val="DefaultParagraphFont"/>
    <w:link w:val="Header"/>
    <w:uiPriority w:val="99"/>
    <w:rsid w:val="00BE205D"/>
    <w:rPr>
      <w:sz w:val="24"/>
      <w:szCs w:val="24"/>
      <w:lang w:eastAsia="en-US"/>
    </w:rPr>
  </w:style>
  <w:style w:type="paragraph" w:styleId="Footer">
    <w:name w:val="footer"/>
    <w:basedOn w:val="Normal"/>
    <w:link w:val="FooterChar"/>
    <w:uiPriority w:val="99"/>
    <w:unhideWhenUsed/>
    <w:rsid w:val="00BE205D"/>
    <w:pPr>
      <w:tabs>
        <w:tab w:val="center" w:pos="4680"/>
        <w:tab w:val="right" w:pos="9360"/>
      </w:tabs>
    </w:pPr>
  </w:style>
  <w:style w:type="character" w:customStyle="1" w:styleId="FooterChar">
    <w:name w:val="Footer Char"/>
    <w:basedOn w:val="DefaultParagraphFont"/>
    <w:link w:val="Footer"/>
    <w:uiPriority w:val="99"/>
    <w:rsid w:val="00BE205D"/>
    <w:rPr>
      <w:sz w:val="24"/>
      <w:szCs w:val="24"/>
      <w:lang w:eastAsia="en-US"/>
    </w:rPr>
  </w:style>
  <w:style w:type="character" w:customStyle="1" w:styleId="Heading3Char">
    <w:name w:val="Heading 3 Char"/>
    <w:basedOn w:val="DefaultParagraphFont"/>
    <w:link w:val="Heading3"/>
    <w:uiPriority w:val="9"/>
    <w:semiHidden/>
    <w:rsid w:val="00AB59D5"/>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rsid w:val="00AB59D5"/>
    <w:pPr>
      <w:spacing w:before="100" w:beforeAutospacing="1" w:after="100" w:afterAutospacing="1"/>
    </w:pPr>
    <w:rPr>
      <w:rFonts w:eastAsiaTheme="minorHAnsi"/>
    </w:rPr>
  </w:style>
  <w:style w:type="paragraph" w:customStyle="1" w:styleId="Body">
    <w:name w:val="Body"/>
    <w:basedOn w:val="Normal"/>
    <w:uiPriority w:val="99"/>
    <w:semiHidden/>
    <w:rsid w:val="00AB59D5"/>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0114">
      <w:bodyDiv w:val="1"/>
      <w:marLeft w:val="0"/>
      <w:marRight w:val="0"/>
      <w:marTop w:val="0"/>
      <w:marBottom w:val="0"/>
      <w:divBdr>
        <w:top w:val="none" w:sz="0" w:space="0" w:color="auto"/>
        <w:left w:val="none" w:sz="0" w:space="0" w:color="auto"/>
        <w:bottom w:val="none" w:sz="0" w:space="0" w:color="auto"/>
        <w:right w:val="none" w:sz="0" w:space="0" w:color="auto"/>
      </w:divBdr>
    </w:div>
    <w:div w:id="1543590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dc.gov/growthcharts/who_charts.htm" TargetMode="External"/><Relationship Id="rId18" Type="http://schemas.openxmlformats.org/officeDocument/2006/relationships/hyperlink" Target="http://www.arcwa.org/parent_to_parent.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ap.org/" TargetMode="External"/><Relationship Id="rId7" Type="http://schemas.openxmlformats.org/officeDocument/2006/relationships/endnotes" Target="endnotes.xml"/><Relationship Id="rId12" Type="http://schemas.openxmlformats.org/officeDocument/2006/relationships/hyperlink" Target="http://www.cdc.gov/growthcharts/cdc_charts.htm" TargetMode="External"/><Relationship Id="rId17" Type="http://schemas.openxmlformats.org/officeDocument/2006/relationships/hyperlink" Target="http://del.wa.gov/development/es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arenthelp123.org/" TargetMode="External"/><Relationship Id="rId20" Type="http://schemas.openxmlformats.org/officeDocument/2006/relationships/hyperlink" Target="http://www.medicalhom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o.int/childgrowth/en/" TargetMode="External"/><Relationship Id="rId24" Type="http://schemas.openxmlformats.org/officeDocument/2006/relationships/hyperlink" Target="http://www.cdc.gov/ncbddd/actearly/index.html" TargetMode="External"/><Relationship Id="rId5" Type="http://schemas.openxmlformats.org/officeDocument/2006/relationships/webSettings" Target="webSettings.xml"/><Relationship Id="rId15" Type="http://schemas.openxmlformats.org/officeDocument/2006/relationships/hyperlink" Target="http://www.withinreachwa.org" TargetMode="External"/><Relationship Id="rId23" Type="http://schemas.openxmlformats.org/officeDocument/2006/relationships/hyperlink" Target="http://www.aafp.org" TargetMode="External"/><Relationship Id="rId10" Type="http://schemas.openxmlformats.org/officeDocument/2006/relationships/hyperlink" Target="http://www.cdc.gov/nccdphp/dnpao/growthcharts/who/index.htm" TargetMode="External"/><Relationship Id="rId19" Type="http://schemas.openxmlformats.org/officeDocument/2006/relationships/hyperlink" Target="http://www.cshcn.org" TargetMode="External"/><Relationship Id="rId4" Type="http://schemas.openxmlformats.org/officeDocument/2006/relationships/settings" Target="settings.xml"/><Relationship Id="rId9" Type="http://schemas.openxmlformats.org/officeDocument/2006/relationships/hyperlink" Target="http://depts.washington.edu/nutrfoc/webapps/" TargetMode="External"/><Relationship Id="rId14" Type="http://schemas.openxmlformats.org/officeDocument/2006/relationships/hyperlink" Target="http://depts.washington.edu/cshcnnut/nutnet/index.html" TargetMode="External"/><Relationship Id="rId22" Type="http://schemas.openxmlformats.org/officeDocument/2006/relationships/hyperlink" Target="http://www.dbp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936</Words>
  <Characters>6501</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Leavitt</dc:creator>
  <cp:lastModifiedBy>Greg Owen</cp:lastModifiedBy>
  <cp:revision>3</cp:revision>
  <cp:lastPrinted>2013-04-25T21:35:00Z</cp:lastPrinted>
  <dcterms:created xsi:type="dcterms:W3CDTF">2013-04-25T21:37:00Z</dcterms:created>
  <dcterms:modified xsi:type="dcterms:W3CDTF">2014-02-11T17:54:00Z</dcterms:modified>
</cp:coreProperties>
</file>