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footer3.xml" ContentType="application/vnd.openxmlformats-officedocument.wordprocessingml.footer+xml"/>
  <Override PartName="/word/settings.xml" ContentType="application/vnd.openxmlformats-officedocument.wordprocessingml.settings+xml"/>
  <Override PartName="/word/footer1.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tyles.xml" ContentType="application/vnd.openxmlformats-officedocument.wordprocessingml.styles+xml"/>
  <Override PartName="/word/footer2.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spacing w:lineRule="auto" w:line="360"/>
        <w:jc w:val="center"/>
        <w:rPr>
          <w:rStyle w:val="BookTitle"/>
          <w:rFonts w:cs="Arial" w:ascii="Arial" w:hAnsi="Arial"/>
          <w:caps w:val="false"/>
          <w:smallCaps w:val="false"/>
          <w:sz w:val="16"/>
          <w:szCs w:val="16"/>
        </w:rPr>
      </w:pPr>
      <w:bookmarkStart w:id="0" w:name="_Toc273358456"/>
      <w:bookmarkStart w:id="1" w:name="_Toc273358170"/>
      <w:bookmarkStart w:id="2" w:name="_Toc273357776"/>
      <w:bookmarkEnd w:id="0"/>
      <w:bookmarkEnd w:id="1"/>
      <w:bookmarkEnd w:id="2"/>
      <w:r>
        <w:rPr>
          <w:rStyle w:val="BookTitle"/>
          <w:rFonts w:cs="Arial" w:ascii="Arial" w:hAnsi="Arial"/>
          <w:caps w:val="false"/>
          <w:smallCaps w:val="false"/>
          <w:sz w:val="16"/>
          <w:szCs w:val="16"/>
        </w:rPr>
        <w:t>Liquidity Policy Statement</w:t>
      </w:r>
    </w:p>
    <w:p>
      <w:pPr>
        <w:pStyle w:val="Normal"/>
        <w:spacing w:lineRule="auto" w:line="360"/>
        <w:jc w:val="center"/>
        <w:rPr>
          <w:rFonts w:cs="Arial" w:ascii="Arial" w:hAnsi="Arial"/>
          <w:sz w:val="16"/>
          <w:szCs w:val="16"/>
        </w:rPr>
      </w:pPr>
      <w:r>
        <w:rPr>
          <w:rFonts w:cs="Arial" w:ascii="Arial" w:hAnsi="Arial"/>
          <w:sz w:val="16"/>
          <w:szCs w:val="16"/>
        </w:rPr>
        <w:t>XYZ Bank</w:t>
      </w:r>
    </w:p>
    <w:p>
      <w:pPr>
        <w:pStyle w:val="Contents1"/>
        <w:tabs>
          <w:tab w:val="right" w:pos="9350" w:leader="dot"/>
        </w:tabs>
        <w:spacing w:lineRule="auto" w:line="360"/>
        <w:rPr>
          <w:rStyle w:val="IndexLink"/>
          <w:rFonts w:cs="Arial" w:ascii="Arial" w:hAnsi="Arial"/>
          <w:vanish w:val="false"/>
          <w:sz w:val="16"/>
          <w:szCs w:val="16"/>
        </w:rPr>
      </w:pPr>
      <w:r>
        <w:fldChar w:fldCharType="begin"/>
      </w:r>
      <w:r>
        <w:instrText> TOC </w:instrText>
      </w:r>
      <w:r>
        <w:fldChar w:fldCharType="separate"/>
      </w:r>
      <w:hyperlink w:anchor="_Toc285613940">
        <w:r>
          <w:rPr>
            <w:rStyle w:val="IndexLink"/>
            <w:rFonts w:cs="Arial" w:ascii="Arial" w:hAnsi="Arial"/>
            <w:sz w:val="16"/>
            <w:szCs w:val="16"/>
          </w:rPr>
          <w:t>Purpose</w:t>
        </w:r>
        <w:r>
          <w:rPr>
            <w:rStyle w:val="IndexLink"/>
            <w:rFonts w:cs="Arial" w:ascii="Arial" w:hAnsi="Arial"/>
            <w:vanish w:val="false"/>
            <w:sz w:val="16"/>
            <w:szCs w:val="16"/>
          </w:rPr>
          <w:tab/>
          <w:t>1</w:t>
        </w:r>
      </w:hyperlink>
    </w:p>
    <w:p>
      <w:pPr>
        <w:pStyle w:val="Contents1"/>
        <w:tabs>
          <w:tab w:val="right" w:pos="9350" w:leader="dot"/>
        </w:tabs>
        <w:spacing w:lineRule="auto" w:line="360"/>
        <w:rPr>
          <w:rStyle w:val="IndexLink"/>
          <w:rFonts w:cs="Arial" w:ascii="Arial" w:hAnsi="Arial"/>
          <w:vanish w:val="false"/>
          <w:sz w:val="16"/>
          <w:szCs w:val="16"/>
        </w:rPr>
      </w:pPr>
      <w:hyperlink w:anchor="_Toc285613941">
        <w:r>
          <w:rPr>
            <w:rStyle w:val="IndexLink"/>
            <w:rFonts w:cs="Arial" w:ascii="Arial" w:hAnsi="Arial"/>
            <w:sz w:val="16"/>
            <w:szCs w:val="16"/>
          </w:rPr>
          <w:t>Governance</w:t>
        </w:r>
        <w:r>
          <w:rPr>
            <w:rStyle w:val="IndexLink"/>
            <w:rFonts w:cs="Arial" w:ascii="Arial" w:hAnsi="Arial"/>
            <w:vanish w:val="false"/>
            <w:sz w:val="16"/>
            <w:szCs w:val="16"/>
          </w:rPr>
          <w:tab/>
          <w:t>1</w:t>
        </w:r>
      </w:hyperlink>
    </w:p>
    <w:p>
      <w:pPr>
        <w:pStyle w:val="Contents2"/>
        <w:spacing w:lineRule="auto" w:line="360"/>
        <w:rPr>
          <w:rStyle w:val="IndexLink"/>
          <w:rFonts w:cs="Arial" w:ascii="Arial" w:hAnsi="Arial"/>
          <w:vanish w:val="false"/>
          <w:sz w:val="16"/>
          <w:szCs w:val="16"/>
        </w:rPr>
      </w:pPr>
      <w:hyperlink w:anchor="_Toc285613942">
        <w:r>
          <w:rPr>
            <w:rStyle w:val="IndexLink"/>
            <w:rFonts w:cs="Arial" w:ascii="Arial" w:hAnsi="Arial"/>
            <w:sz w:val="16"/>
            <w:szCs w:val="16"/>
          </w:rPr>
          <w:t>Board of Directors</w:t>
        </w:r>
        <w:r>
          <w:rPr>
            <w:rStyle w:val="IndexLink"/>
            <w:rFonts w:cs="Arial" w:ascii="Arial" w:hAnsi="Arial"/>
            <w:vanish w:val="false"/>
            <w:sz w:val="16"/>
            <w:szCs w:val="16"/>
          </w:rPr>
          <w:tab/>
          <w:t>1</w:t>
        </w:r>
      </w:hyperlink>
    </w:p>
    <w:p>
      <w:pPr>
        <w:pStyle w:val="Contents2"/>
        <w:spacing w:lineRule="auto" w:line="360"/>
        <w:rPr>
          <w:rStyle w:val="IndexLink"/>
          <w:rFonts w:cs="Arial" w:ascii="Arial" w:hAnsi="Arial"/>
          <w:vanish w:val="false"/>
          <w:sz w:val="16"/>
          <w:szCs w:val="16"/>
        </w:rPr>
      </w:pPr>
      <w:hyperlink w:anchor="_Toc285613943">
        <w:r>
          <w:rPr>
            <w:rStyle w:val="IndexLink"/>
            <w:rFonts w:cs="Arial" w:ascii="Arial" w:hAnsi="Arial"/>
            <w:sz w:val="16"/>
            <w:szCs w:val="16"/>
          </w:rPr>
          <w:t>Senior Management</w:t>
        </w:r>
        <w:r>
          <w:rPr>
            <w:rStyle w:val="IndexLink"/>
            <w:rFonts w:cs="Arial" w:ascii="Arial" w:hAnsi="Arial"/>
            <w:vanish w:val="false"/>
            <w:sz w:val="16"/>
            <w:szCs w:val="16"/>
          </w:rPr>
          <w:tab/>
          <w:t>1</w:t>
        </w:r>
      </w:hyperlink>
    </w:p>
    <w:p>
      <w:pPr>
        <w:pStyle w:val="Contents2"/>
        <w:spacing w:lineRule="auto" w:line="360"/>
        <w:rPr>
          <w:rStyle w:val="IndexLink"/>
          <w:rFonts w:cs="Arial" w:ascii="Arial" w:hAnsi="Arial"/>
          <w:vanish w:val="false"/>
          <w:sz w:val="16"/>
          <w:szCs w:val="16"/>
        </w:rPr>
      </w:pPr>
      <w:hyperlink w:anchor="_Toc285613944">
        <w:r>
          <w:rPr>
            <w:rStyle w:val="IndexLink"/>
            <w:rFonts w:cs="Arial" w:ascii="Arial" w:hAnsi="Arial"/>
            <w:sz w:val="16"/>
            <w:szCs w:val="16"/>
          </w:rPr>
          <w:t>Operational Responsibilities</w:t>
        </w:r>
        <w:r>
          <w:rPr>
            <w:rStyle w:val="IndexLink"/>
            <w:rFonts w:cs="Arial" w:ascii="Arial" w:hAnsi="Arial"/>
            <w:vanish w:val="false"/>
            <w:sz w:val="16"/>
            <w:szCs w:val="16"/>
          </w:rPr>
          <w:tab/>
          <w:t>1</w:t>
        </w:r>
      </w:hyperlink>
    </w:p>
    <w:p>
      <w:pPr>
        <w:pStyle w:val="Contents2"/>
        <w:spacing w:lineRule="auto" w:line="360"/>
        <w:rPr>
          <w:rStyle w:val="IndexLink"/>
          <w:rFonts w:cs="Arial" w:ascii="Arial" w:hAnsi="Arial"/>
          <w:vanish w:val="false"/>
          <w:sz w:val="16"/>
          <w:szCs w:val="16"/>
        </w:rPr>
      </w:pPr>
      <w:hyperlink w:anchor="_Toc285613945">
        <w:r>
          <w:rPr>
            <w:rStyle w:val="IndexLink"/>
            <w:rFonts w:cs="Arial" w:ascii="Arial" w:hAnsi="Arial"/>
            <w:sz w:val="16"/>
            <w:szCs w:val="16"/>
          </w:rPr>
          <w:t>Internal Controls</w:t>
        </w:r>
        <w:r>
          <w:rPr>
            <w:rStyle w:val="IndexLink"/>
            <w:rFonts w:cs="Arial" w:ascii="Arial" w:hAnsi="Arial"/>
            <w:vanish w:val="false"/>
            <w:sz w:val="16"/>
            <w:szCs w:val="16"/>
          </w:rPr>
          <w:tab/>
          <w:t>1</w:t>
        </w:r>
      </w:hyperlink>
    </w:p>
    <w:p>
      <w:pPr>
        <w:pStyle w:val="Contents1"/>
        <w:tabs>
          <w:tab w:val="right" w:pos="9350" w:leader="dot"/>
        </w:tabs>
        <w:spacing w:lineRule="auto" w:line="360"/>
        <w:rPr>
          <w:rStyle w:val="IndexLink"/>
          <w:rFonts w:cs="Arial" w:ascii="Arial" w:hAnsi="Arial"/>
          <w:vanish w:val="false"/>
          <w:sz w:val="16"/>
          <w:szCs w:val="16"/>
        </w:rPr>
      </w:pPr>
      <w:hyperlink w:anchor="_Toc285613946">
        <w:r>
          <w:rPr>
            <w:rStyle w:val="IndexLink"/>
            <w:rFonts w:cs="Arial" w:ascii="Arial" w:hAnsi="Arial"/>
            <w:sz w:val="16"/>
            <w:szCs w:val="16"/>
          </w:rPr>
          <w:t>Liquidity Risk Management Strategies</w:t>
        </w:r>
        <w:r>
          <w:rPr>
            <w:rStyle w:val="IndexLink"/>
            <w:rFonts w:cs="Arial" w:ascii="Arial" w:hAnsi="Arial"/>
            <w:vanish w:val="false"/>
            <w:sz w:val="16"/>
            <w:szCs w:val="16"/>
          </w:rPr>
          <w:tab/>
          <w:t>2</w:t>
        </w:r>
      </w:hyperlink>
    </w:p>
    <w:p>
      <w:pPr>
        <w:pStyle w:val="Contents1"/>
        <w:tabs>
          <w:tab w:val="right" w:pos="9350" w:leader="dot"/>
        </w:tabs>
        <w:spacing w:lineRule="auto" w:line="360"/>
        <w:rPr>
          <w:rStyle w:val="IndexLink"/>
          <w:rFonts w:cs="Arial" w:ascii="Arial" w:hAnsi="Arial"/>
          <w:vanish w:val="false"/>
          <w:sz w:val="16"/>
          <w:szCs w:val="16"/>
        </w:rPr>
      </w:pPr>
      <w:hyperlink w:anchor="_Toc285613947">
        <w:r>
          <w:rPr>
            <w:rStyle w:val="IndexLink"/>
            <w:rFonts w:cs="Arial" w:ascii="Arial" w:hAnsi="Arial"/>
            <w:sz w:val="16"/>
            <w:szCs w:val="16"/>
          </w:rPr>
          <w:t>Funding Sources</w:t>
        </w:r>
        <w:r>
          <w:rPr>
            <w:rStyle w:val="IndexLink"/>
            <w:rFonts w:cs="Arial" w:ascii="Arial" w:hAnsi="Arial"/>
            <w:vanish w:val="false"/>
            <w:sz w:val="16"/>
            <w:szCs w:val="16"/>
          </w:rPr>
          <w:tab/>
          <w:t>2</w:t>
        </w:r>
      </w:hyperlink>
    </w:p>
    <w:p>
      <w:pPr>
        <w:pStyle w:val="Contents1"/>
        <w:tabs>
          <w:tab w:val="right" w:pos="9350" w:leader="dot"/>
        </w:tabs>
        <w:spacing w:lineRule="auto" w:line="360"/>
        <w:rPr>
          <w:rStyle w:val="IndexLink"/>
          <w:rFonts w:cs="Arial" w:ascii="Arial" w:hAnsi="Arial"/>
          <w:vanish w:val="false"/>
          <w:sz w:val="16"/>
          <w:szCs w:val="16"/>
        </w:rPr>
      </w:pPr>
      <w:hyperlink w:anchor="_Toc285613948">
        <w:r>
          <w:rPr>
            <w:rStyle w:val="IndexLink"/>
            <w:rFonts w:cs="Arial" w:ascii="Arial" w:hAnsi="Arial"/>
            <w:sz w:val="16"/>
            <w:szCs w:val="16"/>
          </w:rPr>
          <w:t>Measurement Monitoring and Reporting Systems</w:t>
        </w:r>
        <w:r>
          <w:rPr>
            <w:rStyle w:val="IndexLink"/>
            <w:rFonts w:cs="Arial" w:ascii="Arial" w:hAnsi="Arial"/>
            <w:vanish w:val="false"/>
            <w:sz w:val="16"/>
            <w:szCs w:val="16"/>
          </w:rPr>
          <w:tab/>
          <w:t>3</w:t>
        </w:r>
      </w:hyperlink>
    </w:p>
    <w:p>
      <w:pPr>
        <w:pStyle w:val="Contents2"/>
        <w:spacing w:lineRule="auto" w:line="360"/>
        <w:rPr>
          <w:rStyle w:val="IndexLink"/>
          <w:rFonts w:cs="Arial" w:ascii="Arial" w:hAnsi="Arial"/>
          <w:vanish w:val="false"/>
          <w:sz w:val="16"/>
          <w:szCs w:val="16"/>
        </w:rPr>
      </w:pPr>
      <w:hyperlink w:anchor="_Toc285613949">
        <w:r>
          <w:rPr>
            <w:rStyle w:val="IndexLink"/>
            <w:rFonts w:cs="Arial" w:ascii="Arial" w:hAnsi="Arial"/>
            <w:sz w:val="16"/>
            <w:szCs w:val="16"/>
          </w:rPr>
          <w:t>Quarterly Reporting on Liquidity Management</w:t>
        </w:r>
        <w:r>
          <w:rPr>
            <w:rStyle w:val="IndexLink"/>
            <w:rFonts w:cs="Arial" w:ascii="Arial" w:hAnsi="Arial"/>
            <w:vanish w:val="false"/>
            <w:sz w:val="16"/>
            <w:szCs w:val="16"/>
          </w:rPr>
          <w:tab/>
          <w:t>4</w:t>
        </w:r>
      </w:hyperlink>
    </w:p>
    <w:p>
      <w:pPr>
        <w:pStyle w:val="Contents2"/>
        <w:spacing w:lineRule="auto" w:line="360"/>
        <w:rPr>
          <w:rStyle w:val="IndexLink"/>
          <w:rFonts w:cs="Arial" w:ascii="Arial" w:hAnsi="Arial"/>
          <w:vanish w:val="false"/>
          <w:sz w:val="16"/>
          <w:szCs w:val="16"/>
        </w:rPr>
      </w:pPr>
      <w:hyperlink w:anchor="_Toc285613950">
        <w:r>
          <w:rPr>
            <w:rStyle w:val="IndexLink"/>
            <w:rFonts w:cs="Arial" w:ascii="Arial" w:hAnsi="Arial"/>
            <w:sz w:val="16"/>
            <w:szCs w:val="16"/>
          </w:rPr>
          <w:t>Intra-Day Liquidity Management</w:t>
        </w:r>
        <w:r>
          <w:rPr>
            <w:rStyle w:val="IndexLink"/>
            <w:rFonts w:cs="Arial" w:ascii="Arial" w:hAnsi="Arial"/>
            <w:vanish w:val="false"/>
            <w:sz w:val="16"/>
            <w:szCs w:val="16"/>
          </w:rPr>
          <w:tab/>
          <w:t>4</w:t>
        </w:r>
      </w:hyperlink>
    </w:p>
    <w:p>
      <w:pPr>
        <w:pStyle w:val="Contents2"/>
        <w:spacing w:lineRule="auto" w:line="360"/>
        <w:rPr>
          <w:rStyle w:val="IndexLink"/>
          <w:rFonts w:cs="Arial" w:ascii="Arial" w:hAnsi="Arial"/>
          <w:vanish w:val="false"/>
          <w:sz w:val="16"/>
          <w:szCs w:val="16"/>
        </w:rPr>
      </w:pPr>
      <w:hyperlink w:anchor="_Toc285613951">
        <w:r>
          <w:rPr>
            <w:rStyle w:val="IndexLink"/>
            <w:rFonts w:cs="Arial" w:ascii="Arial" w:hAnsi="Arial"/>
            <w:sz w:val="16"/>
            <w:szCs w:val="16"/>
          </w:rPr>
          <w:t>Alignment with Budgeting and Risk Management Process</w:t>
        </w:r>
        <w:r>
          <w:rPr>
            <w:rStyle w:val="IndexLink"/>
            <w:rFonts w:cs="Arial" w:ascii="Arial" w:hAnsi="Arial"/>
            <w:vanish w:val="false"/>
            <w:sz w:val="16"/>
            <w:szCs w:val="16"/>
          </w:rPr>
          <w:tab/>
          <w:t>4</w:t>
        </w:r>
      </w:hyperlink>
    </w:p>
    <w:p>
      <w:pPr>
        <w:pStyle w:val="Contents1"/>
        <w:tabs>
          <w:tab w:val="right" w:pos="9350" w:leader="dot"/>
        </w:tabs>
        <w:spacing w:lineRule="auto" w:line="360"/>
        <w:rPr>
          <w:rStyle w:val="IndexLink"/>
          <w:rFonts w:cs="Arial" w:ascii="Arial" w:hAnsi="Arial"/>
          <w:vanish w:val="false"/>
          <w:sz w:val="16"/>
          <w:szCs w:val="16"/>
        </w:rPr>
      </w:pPr>
      <w:hyperlink w:anchor="_Toc285613952">
        <w:r>
          <w:rPr>
            <w:rStyle w:val="IndexLink"/>
            <w:rFonts w:cs="Arial" w:ascii="Arial" w:hAnsi="Arial"/>
            <w:sz w:val="16"/>
            <w:szCs w:val="16"/>
          </w:rPr>
          <w:t>Policy Measurements and Limits</w:t>
        </w:r>
        <w:r>
          <w:rPr>
            <w:rStyle w:val="IndexLink"/>
            <w:rFonts w:cs="Arial" w:ascii="Arial" w:hAnsi="Arial"/>
            <w:vanish w:val="false"/>
            <w:sz w:val="16"/>
            <w:szCs w:val="16"/>
          </w:rPr>
          <w:tab/>
          <w:t>5</w:t>
        </w:r>
      </w:hyperlink>
    </w:p>
    <w:p>
      <w:pPr>
        <w:pStyle w:val="Contents2"/>
        <w:spacing w:lineRule="auto" w:line="360"/>
        <w:rPr>
          <w:rStyle w:val="IndexLink"/>
          <w:rFonts w:cs="Arial" w:ascii="Arial" w:hAnsi="Arial"/>
          <w:vanish w:val="false"/>
          <w:sz w:val="16"/>
          <w:szCs w:val="16"/>
        </w:rPr>
      </w:pPr>
      <w:hyperlink w:anchor="_Toc285613953">
        <w:r>
          <w:rPr>
            <w:rStyle w:val="IndexLink"/>
            <w:rFonts w:cs="Arial" w:ascii="Arial" w:hAnsi="Arial"/>
            <w:sz w:val="16"/>
            <w:szCs w:val="16"/>
          </w:rPr>
          <w:t>Primary Policy Limits</w:t>
        </w:r>
        <w:r>
          <w:rPr>
            <w:rStyle w:val="IndexLink"/>
            <w:rFonts w:cs="Arial" w:ascii="Arial" w:hAnsi="Arial"/>
            <w:vanish w:val="false"/>
            <w:sz w:val="16"/>
            <w:szCs w:val="16"/>
          </w:rPr>
          <w:tab/>
          <w:t>5</w:t>
        </w:r>
      </w:hyperlink>
    </w:p>
    <w:p>
      <w:pPr>
        <w:pStyle w:val="Contents3"/>
        <w:tabs>
          <w:tab w:val="right" w:pos="9350" w:leader="dot"/>
        </w:tabs>
        <w:spacing w:lineRule="auto" w:line="360"/>
        <w:rPr>
          <w:rStyle w:val="IndexLink"/>
          <w:rFonts w:cs="Arial" w:ascii="Arial" w:hAnsi="Arial"/>
          <w:vanish w:val="false"/>
          <w:sz w:val="16"/>
          <w:szCs w:val="16"/>
        </w:rPr>
      </w:pPr>
      <w:hyperlink w:anchor="_Toc285613954">
        <w:r>
          <w:rPr>
            <w:rStyle w:val="IndexLink"/>
            <w:rFonts w:cs="Arial" w:ascii="Arial" w:hAnsi="Arial"/>
            <w:sz w:val="16"/>
            <w:szCs w:val="16"/>
          </w:rPr>
          <w:t>Liquidity Coverage Ratio</w:t>
        </w:r>
        <w:r>
          <w:rPr>
            <w:rStyle w:val="IndexLink"/>
            <w:rFonts w:cs="Arial" w:ascii="Arial" w:hAnsi="Arial"/>
            <w:vanish w:val="false"/>
            <w:sz w:val="16"/>
            <w:szCs w:val="16"/>
          </w:rPr>
          <w:tab/>
          <w:t>5</w:t>
        </w:r>
      </w:hyperlink>
    </w:p>
    <w:p>
      <w:pPr>
        <w:pStyle w:val="Contents3"/>
        <w:tabs>
          <w:tab w:val="right" w:pos="9350" w:leader="dot"/>
        </w:tabs>
        <w:spacing w:lineRule="auto" w:line="360"/>
        <w:rPr>
          <w:rStyle w:val="IndexLink"/>
          <w:rFonts w:cs="Arial" w:ascii="Arial" w:hAnsi="Arial"/>
          <w:vanish w:val="false"/>
          <w:sz w:val="16"/>
          <w:szCs w:val="16"/>
        </w:rPr>
      </w:pPr>
      <w:hyperlink w:anchor="_Toc285613955">
        <w:r>
          <w:rPr>
            <w:rStyle w:val="IndexLink"/>
            <w:rFonts w:cs="Arial" w:ascii="Arial" w:hAnsi="Arial"/>
            <w:sz w:val="16"/>
            <w:szCs w:val="16"/>
          </w:rPr>
          <w:t>Twelve-Month Cumulative Liquidity Gap Ratio</w:t>
        </w:r>
        <w:r>
          <w:rPr>
            <w:rStyle w:val="IndexLink"/>
            <w:rFonts w:cs="Arial" w:ascii="Arial" w:hAnsi="Arial"/>
            <w:vanish w:val="false"/>
            <w:sz w:val="16"/>
            <w:szCs w:val="16"/>
          </w:rPr>
          <w:tab/>
          <w:t>5</w:t>
        </w:r>
      </w:hyperlink>
    </w:p>
    <w:p>
      <w:pPr>
        <w:pStyle w:val="Contents3"/>
        <w:tabs>
          <w:tab w:val="right" w:pos="9350" w:leader="dot"/>
        </w:tabs>
        <w:spacing w:lineRule="auto" w:line="360"/>
        <w:rPr>
          <w:rStyle w:val="IndexLink"/>
          <w:rFonts w:cs="Arial" w:ascii="Arial" w:hAnsi="Arial"/>
          <w:vanish w:val="false"/>
          <w:sz w:val="16"/>
          <w:szCs w:val="16"/>
        </w:rPr>
      </w:pPr>
      <w:hyperlink w:anchor="_Toc285613956">
        <w:r>
          <w:rPr>
            <w:rStyle w:val="IndexLink"/>
            <w:rFonts w:cs="Arial" w:ascii="Arial" w:hAnsi="Arial"/>
            <w:sz w:val="16"/>
            <w:szCs w:val="16"/>
          </w:rPr>
          <w:t>Near-Core and Non-Core Funding/Total Assets</w:t>
        </w:r>
        <w:r>
          <w:rPr>
            <w:rStyle w:val="IndexLink"/>
            <w:rFonts w:cs="Arial" w:ascii="Arial" w:hAnsi="Arial"/>
            <w:vanish w:val="false"/>
            <w:sz w:val="16"/>
            <w:szCs w:val="16"/>
          </w:rPr>
          <w:tab/>
          <w:t>6</w:t>
        </w:r>
      </w:hyperlink>
    </w:p>
    <w:p>
      <w:pPr>
        <w:pStyle w:val="Contents2"/>
        <w:spacing w:lineRule="auto" w:line="360"/>
        <w:rPr>
          <w:rStyle w:val="IndexLink"/>
          <w:rFonts w:cs="Arial" w:ascii="Arial" w:hAnsi="Arial"/>
          <w:vanish w:val="false"/>
          <w:sz w:val="16"/>
          <w:szCs w:val="16"/>
        </w:rPr>
      </w:pPr>
      <w:hyperlink w:anchor="_Toc285613957">
        <w:r>
          <w:rPr>
            <w:rStyle w:val="IndexLink"/>
            <w:rFonts w:cs="Arial" w:ascii="Arial" w:hAnsi="Arial"/>
            <w:sz w:val="16"/>
            <w:szCs w:val="16"/>
          </w:rPr>
          <w:t>Event Triggers</w:t>
        </w:r>
        <w:r>
          <w:rPr>
            <w:rStyle w:val="IndexLink"/>
            <w:rFonts w:cs="Arial" w:ascii="Arial" w:hAnsi="Arial"/>
            <w:vanish w:val="false"/>
            <w:sz w:val="16"/>
            <w:szCs w:val="16"/>
          </w:rPr>
          <w:tab/>
          <w:t>6</w:t>
        </w:r>
      </w:hyperlink>
    </w:p>
    <w:p>
      <w:pPr>
        <w:pStyle w:val="Contents1"/>
        <w:tabs>
          <w:tab w:val="right" w:pos="9350" w:leader="dot"/>
        </w:tabs>
        <w:spacing w:lineRule="auto" w:line="360"/>
        <w:rPr>
          <w:rStyle w:val="IndexLink"/>
          <w:rFonts w:cs="Arial" w:ascii="Arial" w:hAnsi="Arial"/>
          <w:vanish w:val="false"/>
          <w:sz w:val="16"/>
          <w:szCs w:val="16"/>
        </w:rPr>
      </w:pPr>
      <w:hyperlink w:anchor="_Toc285613958">
        <w:r>
          <w:rPr>
            <w:rStyle w:val="IndexLink"/>
            <w:rFonts w:cs="Arial" w:ascii="Arial" w:hAnsi="Arial"/>
            <w:sz w:val="16"/>
            <w:szCs w:val="16"/>
          </w:rPr>
          <w:t>Contingency Funding Plans</w:t>
        </w:r>
        <w:r>
          <w:rPr>
            <w:rStyle w:val="IndexLink"/>
            <w:rFonts w:cs="Arial" w:ascii="Arial" w:hAnsi="Arial"/>
            <w:vanish w:val="false"/>
            <w:sz w:val="16"/>
            <w:szCs w:val="16"/>
          </w:rPr>
          <w:tab/>
          <w:t>7</w:t>
        </w:r>
      </w:hyperlink>
    </w:p>
    <w:p>
      <w:pPr>
        <w:pStyle w:val="Contents2"/>
        <w:spacing w:lineRule="auto" w:line="360"/>
        <w:rPr>
          <w:rStyle w:val="IndexLink"/>
          <w:rFonts w:cs="Arial" w:ascii="Arial" w:hAnsi="Arial"/>
          <w:vanish w:val="false"/>
          <w:sz w:val="16"/>
          <w:szCs w:val="16"/>
        </w:rPr>
      </w:pPr>
      <w:hyperlink w:anchor="_Toc285613959">
        <w:r>
          <w:rPr>
            <w:rStyle w:val="IndexLink"/>
            <w:rFonts w:cs="Arial" w:ascii="Arial" w:hAnsi="Arial"/>
            <w:sz w:val="16"/>
            <w:szCs w:val="16"/>
          </w:rPr>
          <w:t>Facilities Periodically Tested</w:t>
        </w:r>
        <w:r>
          <w:rPr>
            <w:rStyle w:val="IndexLink"/>
            <w:rFonts w:cs="Arial" w:ascii="Arial" w:hAnsi="Arial"/>
            <w:vanish w:val="false"/>
            <w:sz w:val="16"/>
            <w:szCs w:val="16"/>
          </w:rPr>
          <w:tab/>
          <w:t>8</w:t>
        </w:r>
      </w:hyperlink>
    </w:p>
    <w:p>
      <w:pPr>
        <w:pStyle w:val="Contents2"/>
        <w:spacing w:lineRule="auto" w:line="360"/>
        <w:rPr>
          <w:rStyle w:val="IndexLink"/>
          <w:rFonts w:cs="Arial" w:ascii="Arial" w:hAnsi="Arial"/>
          <w:vanish w:val="false"/>
          <w:sz w:val="16"/>
          <w:szCs w:val="16"/>
        </w:rPr>
      </w:pPr>
      <w:hyperlink w:anchor="_Toc285613960">
        <w:r>
          <w:rPr>
            <w:rStyle w:val="IndexLink"/>
            <w:rFonts w:cs="Arial" w:ascii="Arial" w:hAnsi="Arial"/>
            <w:sz w:val="16"/>
            <w:szCs w:val="16"/>
          </w:rPr>
          <w:t>Timelines to Raise Funding Documented</w:t>
        </w:r>
        <w:r>
          <w:rPr>
            <w:rStyle w:val="IndexLink"/>
            <w:rFonts w:cs="Arial" w:ascii="Arial" w:hAnsi="Arial"/>
            <w:vanish w:val="false"/>
            <w:sz w:val="16"/>
            <w:szCs w:val="16"/>
          </w:rPr>
          <w:tab/>
          <w:t>8</w:t>
        </w:r>
      </w:hyperlink>
    </w:p>
    <w:p>
      <w:pPr>
        <w:pStyle w:val="Contents1"/>
        <w:tabs>
          <w:tab w:val="right" w:pos="9350" w:leader="dot"/>
        </w:tabs>
        <w:spacing w:lineRule="auto" w:line="360"/>
        <w:rPr>
          <w:rStyle w:val="IndexLink"/>
          <w:rFonts w:cs="Arial" w:ascii="Arial" w:hAnsi="Arial"/>
          <w:vanish w:val="false"/>
          <w:sz w:val="16"/>
          <w:szCs w:val="16"/>
        </w:rPr>
      </w:pPr>
      <w:hyperlink w:anchor="_Toc285613961">
        <w:r>
          <w:rPr>
            <w:rStyle w:val="IndexLink"/>
            <w:rFonts w:cs="Arial" w:ascii="Arial" w:hAnsi="Arial"/>
            <w:sz w:val="16"/>
            <w:szCs w:val="16"/>
          </w:rPr>
          <w:t>Liquidity Stress Events</w:t>
        </w:r>
        <w:r>
          <w:rPr>
            <w:rStyle w:val="IndexLink"/>
            <w:rFonts w:cs="Arial" w:ascii="Arial" w:hAnsi="Arial"/>
            <w:vanish w:val="false"/>
            <w:sz w:val="16"/>
            <w:szCs w:val="16"/>
          </w:rPr>
          <w:tab/>
          <w:t>8</w:t>
        </w:r>
      </w:hyperlink>
    </w:p>
    <w:p>
      <w:pPr>
        <w:pStyle w:val="Contents2"/>
        <w:spacing w:lineRule="auto" w:line="360"/>
        <w:rPr>
          <w:rStyle w:val="IndexLink"/>
          <w:rFonts w:cs="Arial" w:ascii="Arial" w:hAnsi="Arial"/>
          <w:vanish w:val="false"/>
          <w:sz w:val="16"/>
          <w:szCs w:val="16"/>
        </w:rPr>
      </w:pPr>
      <w:hyperlink w:anchor="_Toc285613962">
        <w:r>
          <w:rPr>
            <w:rStyle w:val="IndexLink"/>
            <w:rFonts w:cs="Arial" w:ascii="Arial" w:hAnsi="Arial"/>
            <w:sz w:val="16"/>
            <w:szCs w:val="16"/>
          </w:rPr>
          <w:t>Short-Term Crises</w:t>
        </w:r>
        <w:r>
          <w:rPr>
            <w:rStyle w:val="IndexLink"/>
            <w:rFonts w:cs="Arial" w:ascii="Arial" w:hAnsi="Arial"/>
            <w:vanish w:val="false"/>
            <w:sz w:val="16"/>
            <w:szCs w:val="16"/>
          </w:rPr>
          <w:tab/>
          <w:t>8</w:t>
        </w:r>
      </w:hyperlink>
    </w:p>
    <w:p>
      <w:pPr>
        <w:pStyle w:val="Contents2"/>
        <w:spacing w:lineRule="auto" w:line="360"/>
        <w:rPr>
          <w:rStyle w:val="IndexLink"/>
          <w:rFonts w:cs="Arial" w:ascii="Arial" w:hAnsi="Arial"/>
          <w:vanish w:val="false"/>
          <w:sz w:val="16"/>
          <w:szCs w:val="16"/>
        </w:rPr>
      </w:pPr>
      <w:hyperlink w:anchor="_Toc285613963">
        <w:r>
          <w:rPr>
            <w:rStyle w:val="IndexLink"/>
            <w:rFonts w:cs="Arial" w:ascii="Arial" w:hAnsi="Arial"/>
            <w:sz w:val="16"/>
            <w:szCs w:val="16"/>
          </w:rPr>
          <w:t>Long-Term Crises</w:t>
        </w:r>
        <w:r>
          <w:rPr>
            <w:rStyle w:val="IndexLink"/>
            <w:rFonts w:cs="Arial" w:ascii="Arial" w:hAnsi="Arial"/>
            <w:vanish w:val="false"/>
            <w:sz w:val="16"/>
            <w:szCs w:val="16"/>
          </w:rPr>
          <w:tab/>
          <w:t>9</w:t>
        </w:r>
      </w:hyperlink>
    </w:p>
    <w:p>
      <w:pPr>
        <w:pStyle w:val="Contents2"/>
        <w:spacing w:lineRule="auto" w:line="360"/>
        <w:rPr>
          <w:rStyle w:val="IndexLink"/>
          <w:rFonts w:cs="Arial" w:ascii="Arial" w:hAnsi="Arial"/>
          <w:vanish w:val="false"/>
          <w:sz w:val="16"/>
          <w:szCs w:val="16"/>
        </w:rPr>
      </w:pPr>
      <w:hyperlink w:anchor="_Toc285613964">
        <w:r>
          <w:rPr>
            <w:rStyle w:val="IndexLink"/>
            <w:rFonts w:cs="Arial" w:ascii="Arial" w:hAnsi="Arial"/>
            <w:sz w:val="16"/>
            <w:szCs w:val="16"/>
          </w:rPr>
          <w:t>Stress Test Evaluation</w:t>
        </w:r>
        <w:r>
          <w:rPr>
            <w:rStyle w:val="IndexLink"/>
            <w:rFonts w:cs="Arial" w:ascii="Arial" w:hAnsi="Arial"/>
            <w:vanish w:val="false"/>
            <w:sz w:val="16"/>
            <w:szCs w:val="16"/>
          </w:rPr>
          <w:tab/>
          <w:t>9</w:t>
        </w:r>
      </w:hyperlink>
    </w:p>
    <w:p>
      <w:pPr>
        <w:sectPr>
          <w:headerReference w:type="default" r:id="rId2"/>
          <w:headerReference w:type="first" r:id="rId3"/>
          <w:footerReference w:type="default" r:id="rId4"/>
          <w:footerReference w:type="first" r:id="rId5"/>
          <w:type w:val="nextPage"/>
          <w:pgSz w:w="12240" w:h="15840"/>
          <w:pgMar w:left="1440" w:right="1440" w:header="720" w:top="777" w:footer="720" w:bottom="777" w:gutter="0"/>
          <w:pgNumType w:fmt="decimal"/>
          <w:formProt w:val="false"/>
          <w:titlePg/>
          <w:textDirection w:val="lrTb"/>
          <w:docGrid w:type="default" w:linePitch="360" w:charSpace="4294965247"/>
        </w:sectPr>
        <w:pStyle w:val="Contents1"/>
        <w:tabs>
          <w:tab w:val="right" w:pos="9350" w:leader="dot"/>
        </w:tabs>
        <w:spacing w:lineRule="auto" w:line="360"/>
        <w:rPr>
          <w:rStyle w:val="IndexLink"/>
          <w:rFonts w:cs="Arial" w:ascii="Arial" w:hAnsi="Arial"/>
          <w:vanish w:val="false"/>
          <w:sz w:val="16"/>
          <w:szCs w:val="16"/>
        </w:rPr>
      </w:pPr>
      <w:hyperlink w:anchor="_Toc285613965">
        <w:r>
          <w:rPr>
            <w:rStyle w:val="IndexLink"/>
            <w:rFonts w:cs="Arial" w:ascii="Arial" w:hAnsi="Arial"/>
            <w:sz w:val="16"/>
            <w:szCs w:val="16"/>
          </w:rPr>
          <w:t>Contingency Funding Plan Team</w:t>
        </w:r>
        <w:r>
          <w:rPr>
            <w:rStyle w:val="IndexLink"/>
            <w:rFonts w:cs="Arial" w:ascii="Arial" w:hAnsi="Arial"/>
            <w:vanish w:val="false"/>
            <w:sz w:val="16"/>
            <w:szCs w:val="16"/>
          </w:rPr>
          <w:tab/>
          <w:t>10</w:t>
        </w:r>
      </w:hyperlink>
    </w:p>
    <w:p>
      <w:pPr>
        <w:pStyle w:val="Heading1"/>
        <w:spacing w:lineRule="auto" w:line="360"/>
        <w:rPr>
          <w:rFonts w:ascii="Arial" w:hAnsi="Arial"/>
          <w:sz w:val="16"/>
          <w:szCs w:val="16"/>
        </w:rPr>
      </w:pPr>
      <w:bookmarkStart w:id="3" w:name="_Toc285613940"/>
      <w:bookmarkEnd w:id="3"/>
      <w:r>
        <w:rPr>
          <w:rFonts w:ascii="Arial" w:hAnsi="Arial"/>
          <w:sz w:val="16"/>
          <w:szCs w:val="16"/>
        </w:rPr>
        <w:t>Purpose</w:t>
        <w:pict>
          <v:shape id="shape_0" fillcolor="silver" stroked="f" style="position:absolute;margin-left:-59.4pt;margin-top:224.75pt;width:461.4pt;height:198.35pt;rotation:315;mso-position-horizontal:center;mso-position-vertical:center;mso-position-vertical-relative:margin" type="shapetype_136">
            <v:path textpathok="t"/>
            <v:textpath on="t" fitshape="t" string="SAMPLE" style="font-family:&quot;Calibri&quot;"/>
            <v:wrap v:type="none"/>
            <v:fill type="solid" color2="#3f3f3f" detectmouseclick="t" opacity="0.5"/>
            <v:stroke color="#3465a4" joinstyle="round" endcap="flat"/>
          </v:shape>
        </w:pict>
      </w:r>
      <w:r>
        <w:fldChar w:fldCharType="end"/>
      </w:r>
    </w:p>
    <w:p>
      <w:pPr>
        <w:pStyle w:val="Normal"/>
        <w:spacing w:lineRule="auto" w:line="360"/>
        <w:rPr>
          <w:rFonts w:cs="Arial" w:ascii="Arial" w:hAnsi="Arial"/>
          <w:sz w:val="16"/>
          <w:szCs w:val="16"/>
        </w:rPr>
      </w:pPr>
      <w:r>
        <w:rPr>
          <w:rFonts w:cs="Arial" w:ascii="Arial" w:hAnsi="Arial"/>
          <w:sz w:val="16"/>
          <w:szCs w:val="16"/>
        </w:rPr>
        <w:t>The purpose of this policy is to establish and implement financial procedures that maintain the bank’s liquidity and optimize net income. The policy outlines the structure under which the liquidity of the assets and liabilities of the bank will be managed. The policy will provide guidelines and procedures in addition to those set forth in our written loan, asset/liability management (ALM), and investment policies. It will be the responsibility of XYZ management to recommend and implement appropriate strategies. This policy is intended to manage XYZ’s liquidity risk in a manner consistent with the Interagency Policy Statement on Funding and Liquidity Risk Management issued in March, 2010.</w:t>
      </w:r>
    </w:p>
    <w:p>
      <w:pPr>
        <w:pStyle w:val="Heading1"/>
        <w:spacing w:lineRule="auto" w:line="360"/>
        <w:rPr>
          <w:rFonts w:ascii="Arial" w:hAnsi="Arial"/>
          <w:sz w:val="16"/>
          <w:szCs w:val="16"/>
        </w:rPr>
      </w:pPr>
      <w:bookmarkStart w:id="4" w:name="_Toc285613941"/>
      <w:bookmarkEnd w:id="4"/>
      <w:r>
        <w:rPr>
          <w:rFonts w:ascii="Arial" w:hAnsi="Arial"/>
          <w:sz w:val="16"/>
          <w:szCs w:val="16"/>
        </w:rPr>
        <w:t>Governance</w:t>
      </w:r>
    </w:p>
    <w:p>
      <w:pPr>
        <w:pStyle w:val="Heading2"/>
        <w:spacing w:lineRule="auto" w:line="360"/>
        <w:rPr>
          <w:rFonts w:ascii="Arial" w:hAnsi="Arial"/>
          <w:sz w:val="16"/>
          <w:szCs w:val="16"/>
        </w:rPr>
      </w:pPr>
      <w:bookmarkStart w:id="5" w:name="_Toc285613942"/>
      <w:bookmarkEnd w:id="5"/>
      <w:r>
        <w:rPr>
          <w:rFonts w:ascii="Arial" w:hAnsi="Arial"/>
          <w:sz w:val="16"/>
          <w:szCs w:val="16"/>
        </w:rPr>
        <w:t>Board of Directors</w:t>
      </w:r>
    </w:p>
    <w:p>
      <w:pPr>
        <w:pStyle w:val="Normal"/>
        <w:spacing w:lineRule="auto" w:line="360"/>
        <w:rPr>
          <w:rFonts w:cs="Arial" w:ascii="Arial" w:hAnsi="Arial"/>
          <w:sz w:val="16"/>
          <w:szCs w:val="16"/>
        </w:rPr>
      </w:pPr>
      <w:r>
        <w:rPr>
          <w:rFonts w:cs="Arial" w:ascii="Arial" w:hAnsi="Arial"/>
          <w:sz w:val="16"/>
          <w:szCs w:val="16"/>
        </w:rPr>
        <w:t xml:space="preserve">The Board of Directors of XYZ assumes the responsibility of ensuring that the bank’s liquidity is adequate for both normal operations and unanticipated stress events. By approving the policy statement, the board specifically: </w:t>
      </w:r>
    </w:p>
    <w:p>
      <w:pPr>
        <w:pStyle w:val="ListParagraph"/>
        <w:numPr>
          <w:ilvl w:val="0"/>
          <w:numId w:val="1"/>
        </w:numPr>
        <w:spacing w:lineRule="auto" w:line="360"/>
        <w:rPr>
          <w:rFonts w:eastAsia="Times New Roman" w:cs="Arial" w:ascii="Arial" w:hAnsi="Arial"/>
          <w:bCs/>
          <w:iCs/>
          <w:sz w:val="16"/>
          <w:szCs w:val="16"/>
        </w:rPr>
      </w:pPr>
      <w:r>
        <w:rPr>
          <w:rFonts w:eastAsia="Times New Roman" w:cs="Arial" w:ascii="Arial" w:hAnsi="Arial"/>
          <w:bCs/>
          <w:iCs/>
          <w:sz w:val="16"/>
          <w:szCs w:val="16"/>
        </w:rPr>
        <w:t>Approves policy limits, monitoring, and reporting systems</w:t>
      </w:r>
    </w:p>
    <w:p>
      <w:pPr>
        <w:pStyle w:val="ListParagraph"/>
        <w:numPr>
          <w:ilvl w:val="0"/>
          <w:numId w:val="1"/>
        </w:numPr>
        <w:spacing w:lineRule="auto" w:line="360"/>
        <w:rPr>
          <w:rFonts w:eastAsia="Times New Roman" w:cs="Arial" w:ascii="Arial" w:hAnsi="Arial"/>
          <w:bCs/>
          <w:iCs/>
          <w:sz w:val="16"/>
          <w:szCs w:val="16"/>
        </w:rPr>
      </w:pPr>
      <w:r>
        <w:rPr>
          <w:rFonts w:eastAsia="Times New Roman" w:cs="Arial" w:ascii="Arial" w:hAnsi="Arial"/>
          <w:bCs/>
          <w:iCs/>
          <w:sz w:val="16"/>
          <w:szCs w:val="16"/>
        </w:rPr>
        <w:t xml:space="preserve">Sets up line management responsibilities </w:t>
      </w:r>
    </w:p>
    <w:p>
      <w:pPr>
        <w:pStyle w:val="ListParagraph"/>
        <w:numPr>
          <w:ilvl w:val="0"/>
          <w:numId w:val="1"/>
        </w:numPr>
        <w:spacing w:lineRule="auto" w:line="360"/>
        <w:rPr>
          <w:rFonts w:eastAsia="Times New Roman" w:cs="Arial" w:ascii="Arial" w:hAnsi="Arial"/>
          <w:bCs/>
          <w:iCs/>
          <w:sz w:val="16"/>
          <w:szCs w:val="16"/>
        </w:rPr>
      </w:pPr>
      <w:r>
        <w:rPr>
          <w:rFonts w:eastAsia="Times New Roman" w:cs="Arial" w:ascii="Arial" w:hAnsi="Arial"/>
          <w:bCs/>
          <w:iCs/>
          <w:sz w:val="16"/>
          <w:szCs w:val="16"/>
        </w:rPr>
        <w:t>Puts systems in place to review actual performance relative to policies and controls</w:t>
      </w:r>
    </w:p>
    <w:p>
      <w:pPr>
        <w:pStyle w:val="ListParagraph"/>
        <w:numPr>
          <w:ilvl w:val="0"/>
          <w:numId w:val="1"/>
        </w:numPr>
        <w:spacing w:lineRule="auto" w:line="360"/>
        <w:rPr>
          <w:rFonts w:eastAsia="Times New Roman" w:cs="Arial" w:ascii="Arial" w:hAnsi="Arial"/>
          <w:bCs/>
          <w:iCs/>
          <w:sz w:val="16"/>
          <w:szCs w:val="16"/>
        </w:rPr>
      </w:pPr>
      <w:r>
        <w:rPr>
          <w:rFonts w:eastAsia="Times New Roman" w:cs="Arial" w:ascii="Arial" w:hAnsi="Arial"/>
          <w:bCs/>
          <w:iCs/>
          <w:sz w:val="16"/>
          <w:szCs w:val="16"/>
        </w:rPr>
        <w:t>Agrees to hold management accountable to measure, monitor, and control liquidity risk</w:t>
      </w:r>
    </w:p>
    <w:p>
      <w:pPr>
        <w:pStyle w:val="ListParagraph"/>
        <w:numPr>
          <w:ilvl w:val="0"/>
          <w:numId w:val="1"/>
        </w:numPr>
        <w:spacing w:lineRule="auto" w:line="360"/>
        <w:rPr>
          <w:rFonts w:eastAsia="Times New Roman" w:cs="Arial" w:ascii="Arial" w:hAnsi="Arial"/>
          <w:bCs/>
          <w:iCs/>
          <w:sz w:val="16"/>
          <w:szCs w:val="16"/>
        </w:rPr>
      </w:pPr>
      <w:r>
        <w:rPr>
          <w:rFonts w:eastAsia="Times New Roman" w:cs="Arial" w:ascii="Arial" w:hAnsi="Arial"/>
          <w:bCs/>
          <w:iCs/>
          <w:sz w:val="16"/>
          <w:szCs w:val="16"/>
        </w:rPr>
        <w:t>Reviews liquidity reports on a regular basis to ensure liquidity risk is within policy limits</w:t>
      </w:r>
    </w:p>
    <w:p>
      <w:pPr>
        <w:pStyle w:val="ListParagraph"/>
        <w:numPr>
          <w:ilvl w:val="0"/>
          <w:numId w:val="1"/>
        </w:numPr>
        <w:spacing w:lineRule="auto" w:line="360"/>
        <w:rPr>
          <w:rFonts w:eastAsia="Times New Roman" w:cs="Arial" w:ascii="Arial" w:hAnsi="Arial"/>
          <w:bCs/>
          <w:iCs/>
          <w:sz w:val="16"/>
          <w:szCs w:val="16"/>
        </w:rPr>
      </w:pPr>
      <w:r>
        <w:rPr>
          <w:rFonts w:eastAsia="Times New Roman" w:cs="Arial" w:ascii="Arial" w:hAnsi="Arial"/>
          <w:bCs/>
          <w:iCs/>
          <w:sz w:val="16"/>
          <w:szCs w:val="16"/>
        </w:rPr>
        <w:t xml:space="preserve">Acknowledges that it understands and reviews Contingency Funding Plans (CFP) </w:t>
      </w:r>
    </w:p>
    <w:p>
      <w:pPr>
        <w:pStyle w:val="Heading2"/>
        <w:spacing w:lineRule="auto" w:line="360"/>
        <w:rPr>
          <w:rFonts w:ascii="Arial" w:hAnsi="Arial"/>
          <w:sz w:val="16"/>
          <w:szCs w:val="16"/>
        </w:rPr>
      </w:pPr>
      <w:bookmarkStart w:id="6" w:name="_Toc285613943"/>
      <w:bookmarkEnd w:id="6"/>
      <w:r>
        <w:rPr>
          <w:rFonts w:ascii="Arial" w:hAnsi="Arial"/>
          <w:sz w:val="16"/>
          <w:szCs w:val="16"/>
        </w:rPr>
        <w:t>Senior Management</w:t>
      </w:r>
    </w:p>
    <w:p>
      <w:pPr>
        <w:pStyle w:val="Normal"/>
        <w:spacing w:lineRule="auto" w:line="360"/>
        <w:rPr>
          <w:rFonts w:cs="Arial" w:ascii="Arial" w:hAnsi="Arial"/>
          <w:sz w:val="16"/>
          <w:szCs w:val="16"/>
        </w:rPr>
      </w:pPr>
      <w:r>
        <w:rPr>
          <w:rFonts w:cs="Arial" w:ascii="Arial" w:hAnsi="Arial"/>
          <w:sz w:val="16"/>
          <w:szCs w:val="16"/>
        </w:rPr>
        <w:t>Senior management of XYZ agrees to take the primary management responsibilities for liquidity risk management including:</w:t>
      </w:r>
    </w:p>
    <w:p>
      <w:pPr>
        <w:pStyle w:val="ListParagraph"/>
        <w:numPr>
          <w:ilvl w:val="0"/>
          <w:numId w:val="2"/>
        </w:numPr>
        <w:spacing w:lineRule="auto" w:line="360"/>
        <w:rPr>
          <w:rFonts w:eastAsia="Times New Roman" w:cs="Arial" w:ascii="Arial" w:hAnsi="Arial"/>
          <w:bCs/>
          <w:iCs/>
          <w:sz w:val="16"/>
          <w:szCs w:val="16"/>
        </w:rPr>
      </w:pPr>
      <w:r>
        <w:rPr>
          <w:rFonts w:cs="Arial" w:ascii="Arial" w:hAnsi="Arial"/>
          <w:sz w:val="16"/>
          <w:szCs w:val="16"/>
        </w:rPr>
        <w:t>Execution of</w:t>
      </w:r>
      <w:r>
        <w:rPr>
          <w:rFonts w:eastAsia="Times New Roman" w:cs="Arial" w:ascii="Arial" w:hAnsi="Arial"/>
          <w:bCs/>
          <w:iCs/>
          <w:sz w:val="16"/>
          <w:szCs w:val="16"/>
        </w:rPr>
        <w:t xml:space="preserve"> board-approved policies, procedures and strategies</w:t>
      </w:r>
    </w:p>
    <w:p>
      <w:pPr>
        <w:pStyle w:val="ListParagraph"/>
        <w:numPr>
          <w:ilvl w:val="0"/>
          <w:numId w:val="2"/>
        </w:numPr>
        <w:spacing w:lineRule="auto" w:line="360"/>
        <w:rPr>
          <w:rFonts w:eastAsia="Times New Roman" w:cs="Arial" w:ascii="Arial" w:hAnsi="Arial"/>
          <w:bCs/>
          <w:iCs/>
          <w:sz w:val="16"/>
          <w:szCs w:val="16"/>
        </w:rPr>
      </w:pPr>
      <w:r>
        <w:rPr>
          <w:rFonts w:cs="Arial" w:ascii="Arial" w:hAnsi="Arial"/>
          <w:sz w:val="16"/>
          <w:szCs w:val="16"/>
        </w:rPr>
        <w:t>Development and communication of</w:t>
      </w:r>
      <w:r>
        <w:rPr>
          <w:rFonts w:eastAsia="Times New Roman" w:cs="Arial" w:ascii="Arial" w:hAnsi="Arial"/>
          <w:bCs/>
          <w:iCs/>
          <w:sz w:val="16"/>
          <w:szCs w:val="16"/>
        </w:rPr>
        <w:t xml:space="preserve"> liquidity risk policies and procedures</w:t>
      </w:r>
    </w:p>
    <w:p>
      <w:pPr>
        <w:pStyle w:val="ListParagraph"/>
        <w:numPr>
          <w:ilvl w:val="0"/>
          <w:numId w:val="2"/>
        </w:numPr>
        <w:spacing w:lineRule="auto" w:line="360"/>
        <w:rPr>
          <w:rFonts w:cs="Arial" w:ascii="Arial" w:hAnsi="Arial"/>
          <w:sz w:val="16"/>
          <w:szCs w:val="16"/>
        </w:rPr>
      </w:pPr>
      <w:r>
        <w:rPr>
          <w:rFonts w:cs="Arial" w:ascii="Arial" w:hAnsi="Arial"/>
          <w:sz w:val="16"/>
          <w:szCs w:val="16"/>
        </w:rPr>
        <w:t>Development and administration of liquidity risk</w:t>
      </w:r>
      <w:r>
        <w:rPr>
          <w:rFonts w:eastAsia="Times New Roman" w:cs="Arial" w:ascii="Arial" w:hAnsi="Arial"/>
          <w:bCs/>
          <w:iCs/>
          <w:sz w:val="16"/>
          <w:szCs w:val="16"/>
        </w:rPr>
        <w:t xml:space="preserve"> measurement system</w:t>
      </w:r>
      <w:r>
        <w:rPr>
          <w:rFonts w:cs="Arial" w:ascii="Arial" w:hAnsi="Arial"/>
          <w:sz w:val="16"/>
          <w:szCs w:val="16"/>
        </w:rPr>
        <w:t>s</w:t>
      </w:r>
    </w:p>
    <w:p>
      <w:pPr>
        <w:pStyle w:val="ListParagraph"/>
        <w:numPr>
          <w:ilvl w:val="0"/>
          <w:numId w:val="2"/>
        </w:numPr>
        <w:spacing w:lineRule="auto" w:line="360"/>
        <w:rPr>
          <w:rFonts w:eastAsia="Times New Roman" w:cs="Arial" w:ascii="Arial" w:hAnsi="Arial"/>
          <w:bCs/>
          <w:iCs/>
          <w:sz w:val="16"/>
          <w:szCs w:val="16"/>
        </w:rPr>
      </w:pPr>
      <w:r>
        <w:rPr>
          <w:rFonts w:cs="Arial" w:ascii="Arial" w:hAnsi="Arial"/>
          <w:sz w:val="16"/>
          <w:szCs w:val="16"/>
        </w:rPr>
        <w:t>Maintenance of adequate l</w:t>
      </w:r>
      <w:r>
        <w:rPr>
          <w:rFonts w:eastAsia="Times New Roman" w:cs="Arial" w:ascii="Arial" w:hAnsi="Arial"/>
          <w:bCs/>
          <w:iCs/>
          <w:sz w:val="16"/>
          <w:szCs w:val="16"/>
        </w:rPr>
        <w:t>iquid asset and borrowing capacity buffers</w:t>
      </w:r>
    </w:p>
    <w:p>
      <w:pPr>
        <w:pStyle w:val="ListParagraph"/>
        <w:numPr>
          <w:ilvl w:val="0"/>
          <w:numId w:val="2"/>
        </w:numPr>
        <w:spacing w:lineRule="auto" w:line="360"/>
        <w:rPr>
          <w:rFonts w:eastAsia="Times New Roman" w:cs="Arial" w:ascii="Arial" w:hAnsi="Arial"/>
          <w:bCs/>
          <w:iCs/>
          <w:sz w:val="16"/>
          <w:szCs w:val="16"/>
        </w:rPr>
      </w:pPr>
      <w:r>
        <w:rPr>
          <w:rFonts w:cs="Arial" w:ascii="Arial" w:hAnsi="Arial"/>
          <w:sz w:val="16"/>
          <w:szCs w:val="16"/>
        </w:rPr>
        <w:t xml:space="preserve">Development of </w:t>
      </w:r>
      <w:r>
        <w:rPr>
          <w:rFonts w:eastAsia="Times New Roman" w:cs="Arial" w:ascii="Arial" w:hAnsi="Arial"/>
          <w:bCs/>
          <w:iCs/>
          <w:sz w:val="16"/>
          <w:szCs w:val="16"/>
        </w:rPr>
        <w:t>C</w:t>
      </w:r>
      <w:r>
        <w:rPr>
          <w:rFonts w:cs="Arial" w:ascii="Arial" w:hAnsi="Arial"/>
          <w:sz w:val="16"/>
          <w:szCs w:val="16"/>
        </w:rPr>
        <w:t xml:space="preserve">ontingency </w:t>
      </w:r>
      <w:r>
        <w:rPr>
          <w:rFonts w:eastAsia="Times New Roman" w:cs="Arial" w:ascii="Arial" w:hAnsi="Arial"/>
          <w:bCs/>
          <w:iCs/>
          <w:sz w:val="16"/>
          <w:szCs w:val="16"/>
        </w:rPr>
        <w:t>F</w:t>
      </w:r>
      <w:r>
        <w:rPr>
          <w:rFonts w:cs="Arial" w:ascii="Arial" w:hAnsi="Arial"/>
          <w:sz w:val="16"/>
          <w:szCs w:val="16"/>
        </w:rPr>
        <w:t xml:space="preserve">unding </w:t>
      </w:r>
      <w:r>
        <w:rPr>
          <w:rFonts w:eastAsia="Times New Roman" w:cs="Arial" w:ascii="Arial" w:hAnsi="Arial"/>
          <w:bCs/>
          <w:iCs/>
          <w:sz w:val="16"/>
          <w:szCs w:val="16"/>
        </w:rPr>
        <w:t>P</w:t>
      </w:r>
      <w:r>
        <w:rPr>
          <w:rFonts w:cs="Arial" w:ascii="Arial" w:hAnsi="Arial"/>
          <w:sz w:val="16"/>
          <w:szCs w:val="16"/>
        </w:rPr>
        <w:t>lan</w:t>
      </w:r>
      <w:r>
        <w:rPr>
          <w:rFonts w:eastAsia="Times New Roman" w:cs="Arial" w:ascii="Arial" w:hAnsi="Arial"/>
          <w:bCs/>
          <w:iCs/>
          <w:sz w:val="16"/>
          <w:szCs w:val="16"/>
        </w:rPr>
        <w:t>s and Stress Event Scenarios</w:t>
      </w:r>
    </w:p>
    <w:p>
      <w:pPr>
        <w:pStyle w:val="ListParagraph"/>
        <w:numPr>
          <w:ilvl w:val="0"/>
          <w:numId w:val="2"/>
        </w:numPr>
        <w:spacing w:lineRule="auto" w:line="360"/>
        <w:rPr>
          <w:rFonts w:eastAsia="Times New Roman" w:cs="Arial" w:ascii="Arial" w:hAnsi="Arial"/>
          <w:bCs/>
          <w:iCs/>
          <w:sz w:val="16"/>
          <w:szCs w:val="16"/>
        </w:rPr>
      </w:pPr>
      <w:r>
        <w:rPr>
          <w:rFonts w:cs="Arial" w:ascii="Arial" w:hAnsi="Arial"/>
          <w:sz w:val="16"/>
          <w:szCs w:val="16"/>
        </w:rPr>
        <w:t>Development and monitoring of i</w:t>
      </w:r>
      <w:r>
        <w:rPr>
          <w:rFonts w:eastAsia="Times New Roman" w:cs="Arial" w:ascii="Arial" w:hAnsi="Arial"/>
          <w:bCs/>
          <w:iCs/>
          <w:sz w:val="16"/>
          <w:szCs w:val="16"/>
        </w:rPr>
        <w:t>nternal control infrastructure</w:t>
      </w:r>
    </w:p>
    <w:p>
      <w:pPr>
        <w:pStyle w:val="Heading2"/>
        <w:spacing w:lineRule="auto" w:line="360"/>
        <w:rPr>
          <w:rFonts w:ascii="Arial" w:hAnsi="Arial"/>
          <w:sz w:val="16"/>
          <w:szCs w:val="16"/>
        </w:rPr>
      </w:pPr>
      <w:bookmarkStart w:id="7" w:name="_Toc285613944"/>
      <w:bookmarkEnd w:id="7"/>
      <w:r>
        <w:rPr>
          <w:rFonts w:ascii="Arial" w:hAnsi="Arial"/>
          <w:sz w:val="16"/>
          <w:szCs w:val="16"/>
        </w:rPr>
        <w:t>Operational Responsibilities</w:t>
      </w:r>
    </w:p>
    <w:p>
      <w:pPr>
        <w:pStyle w:val="Normal"/>
        <w:spacing w:lineRule="auto" w:line="360"/>
        <w:rPr>
          <w:rFonts w:cs="Arial" w:ascii="Arial" w:hAnsi="Arial"/>
          <w:sz w:val="16"/>
          <w:szCs w:val="16"/>
        </w:rPr>
      </w:pPr>
      <w:r>
        <w:rPr>
          <w:rFonts w:cs="Arial" w:ascii="Arial" w:hAnsi="Arial"/>
          <w:sz w:val="16"/>
          <w:szCs w:val="16"/>
        </w:rPr>
        <w:t>The primary responsibility for execution of this policy rests with the XYZ Asset Liability Committee (ALCO). Liquidity management reports and analysis are produced on at least a quarterly basis as part of the ALCO packet. The ALCO has primary responsibility for developing alternative strategies to deal with liquidity management issues. Strategies are evaluated based on their impact on liquidity risk and projected return as well as other risks managed by ALCO. The analysis and discussion results in recommendations to the board on both the institution’s business strategy and on strategies needed to deal with events causing the institution to experience liquidity stress.</w:t>
      </w:r>
    </w:p>
    <w:p>
      <w:pPr>
        <w:pStyle w:val="Heading2"/>
        <w:spacing w:lineRule="auto" w:line="360"/>
        <w:rPr>
          <w:rFonts w:ascii="Arial" w:hAnsi="Arial"/>
          <w:sz w:val="16"/>
          <w:szCs w:val="16"/>
        </w:rPr>
      </w:pPr>
      <w:bookmarkStart w:id="8" w:name="_Toc285613945"/>
      <w:bookmarkEnd w:id="8"/>
      <w:r>
        <w:rPr>
          <w:rFonts w:ascii="Arial" w:hAnsi="Arial"/>
          <w:sz w:val="16"/>
          <w:szCs w:val="16"/>
        </w:rPr>
        <w:t>Internal Controls</w:t>
      </w:r>
    </w:p>
    <w:p>
      <w:pPr>
        <w:pStyle w:val="Normal"/>
        <w:spacing w:lineRule="auto" w:line="360"/>
        <w:rPr>
          <w:rFonts w:cs="Arial" w:ascii="Arial" w:hAnsi="Arial"/>
          <w:sz w:val="16"/>
          <w:szCs w:val="16"/>
        </w:rPr>
      </w:pPr>
      <w:r>
        <w:rPr>
          <w:rFonts w:cs="Arial" w:ascii="Arial" w:hAnsi="Arial"/>
          <w:sz w:val="16"/>
          <w:szCs w:val="16"/>
        </w:rPr>
        <w:t>Management has the responsibility to insure that the policies adopted by the board of directors and the reports specified in this policy are being executed. In addition, management periodically back-tests model results against financial data to ensure that the results coming out of the model are consistent with XYZ’s performance in real-world financial results.</w:t>
      </w:r>
    </w:p>
    <w:p>
      <w:pPr>
        <w:pStyle w:val="Heading1"/>
        <w:spacing w:lineRule="auto" w:line="360"/>
        <w:rPr>
          <w:rFonts w:ascii="Arial" w:hAnsi="Arial"/>
          <w:sz w:val="16"/>
          <w:szCs w:val="16"/>
        </w:rPr>
      </w:pPr>
      <w:bookmarkStart w:id="9" w:name="_Toc285613946"/>
      <w:bookmarkEnd w:id="9"/>
      <w:r>
        <w:rPr>
          <w:rFonts w:ascii="Arial" w:hAnsi="Arial"/>
          <w:sz w:val="16"/>
          <w:szCs w:val="16"/>
        </w:rPr>
        <w:t>Liquidity Risk Management Strategies</w:t>
      </w:r>
    </w:p>
    <w:p>
      <w:pPr>
        <w:pStyle w:val="Normal"/>
        <w:spacing w:lineRule="auto" w:line="360"/>
        <w:rPr>
          <w:rFonts w:cs="Arial" w:ascii="Arial" w:hAnsi="Arial"/>
          <w:sz w:val="16"/>
          <w:szCs w:val="16"/>
        </w:rPr>
      </w:pPr>
      <w:r>
        <w:rPr>
          <w:rFonts w:cs="Arial" w:ascii="Arial" w:hAnsi="Arial"/>
          <w:sz w:val="16"/>
          <w:szCs w:val="16"/>
        </w:rPr>
        <w:t>Liquidity risk management strategies will be developed with the objective of optimizing the relationship between liquidity risk and other forms of risk such as interest rate risk, credit risk and capital risk, while providing maximum returns to stockholders. These strategies will:</w:t>
      </w:r>
    </w:p>
    <w:p>
      <w:pPr>
        <w:pStyle w:val="ListParagraph"/>
        <w:numPr>
          <w:ilvl w:val="0"/>
          <w:numId w:val="3"/>
        </w:numPr>
        <w:spacing w:lineRule="auto" w:line="360"/>
        <w:rPr>
          <w:rFonts w:eastAsia="Times New Roman" w:cs="Arial" w:ascii="Arial" w:hAnsi="Arial"/>
          <w:bCs/>
          <w:sz w:val="16"/>
          <w:szCs w:val="16"/>
        </w:rPr>
      </w:pPr>
      <w:r>
        <w:rPr>
          <w:rFonts w:eastAsia="Times New Roman" w:cs="Arial" w:ascii="Arial" w:hAnsi="Arial"/>
          <w:bCs/>
          <w:sz w:val="16"/>
          <w:szCs w:val="16"/>
        </w:rPr>
        <w:t>Identify the primary sources of funding</w:t>
      </w:r>
    </w:p>
    <w:p>
      <w:pPr>
        <w:pStyle w:val="ListParagraph"/>
        <w:numPr>
          <w:ilvl w:val="0"/>
          <w:numId w:val="3"/>
        </w:numPr>
        <w:spacing w:lineRule="auto" w:line="360"/>
        <w:rPr>
          <w:rFonts w:eastAsia="Times New Roman" w:cs="Arial" w:ascii="Arial" w:hAnsi="Arial"/>
          <w:bCs/>
          <w:sz w:val="16"/>
          <w:szCs w:val="16"/>
        </w:rPr>
      </w:pPr>
      <w:r>
        <w:rPr>
          <w:rFonts w:eastAsia="Times New Roman" w:cs="Arial" w:ascii="Arial" w:hAnsi="Arial"/>
          <w:bCs/>
          <w:sz w:val="16"/>
          <w:szCs w:val="16"/>
        </w:rPr>
        <w:t>Provide for alternative responses to business scenarios</w:t>
      </w:r>
    </w:p>
    <w:p>
      <w:pPr>
        <w:pStyle w:val="ListParagraph"/>
        <w:numPr>
          <w:ilvl w:val="0"/>
          <w:numId w:val="3"/>
        </w:numPr>
        <w:spacing w:lineRule="auto" w:line="360"/>
        <w:rPr>
          <w:rFonts w:eastAsia="Times New Roman" w:cs="Arial" w:ascii="Arial" w:hAnsi="Arial"/>
          <w:bCs/>
          <w:sz w:val="16"/>
          <w:szCs w:val="16"/>
        </w:rPr>
      </w:pPr>
      <w:r>
        <w:rPr>
          <w:rFonts w:eastAsia="Times New Roman" w:cs="Arial" w:ascii="Arial" w:hAnsi="Arial"/>
          <w:sz w:val="16"/>
          <w:szCs w:val="16"/>
        </w:rPr>
        <w:t>Deal</w:t>
      </w:r>
      <w:r>
        <w:rPr>
          <w:rFonts w:eastAsia="Times New Roman" w:cs="Arial" w:ascii="Arial" w:hAnsi="Arial"/>
          <w:bCs/>
          <w:sz w:val="16"/>
          <w:szCs w:val="16"/>
        </w:rPr>
        <w:t xml:space="preserve"> with temporary, short-term and long-term liquidity disruptions</w:t>
      </w:r>
    </w:p>
    <w:p>
      <w:pPr>
        <w:pStyle w:val="ListParagraph"/>
        <w:numPr>
          <w:ilvl w:val="0"/>
          <w:numId w:val="3"/>
        </w:numPr>
        <w:spacing w:lineRule="auto" w:line="360"/>
        <w:rPr>
          <w:rFonts w:eastAsia="Times New Roman" w:cs="Arial" w:ascii="Arial" w:hAnsi="Arial"/>
          <w:bCs/>
          <w:sz w:val="16"/>
          <w:szCs w:val="16"/>
        </w:rPr>
      </w:pPr>
      <w:r>
        <w:rPr>
          <w:rFonts w:eastAsia="Times New Roman" w:cs="Arial" w:ascii="Arial" w:hAnsi="Arial"/>
          <w:bCs/>
          <w:sz w:val="16"/>
          <w:szCs w:val="16"/>
        </w:rPr>
        <w:t>Operate within liquidity risk tolerance levels</w:t>
      </w:r>
    </w:p>
    <w:p>
      <w:pPr>
        <w:pStyle w:val="ListParagraph"/>
        <w:numPr>
          <w:ilvl w:val="0"/>
          <w:numId w:val="3"/>
        </w:numPr>
        <w:spacing w:lineRule="auto" w:line="360"/>
        <w:rPr>
          <w:rFonts w:eastAsia="Times New Roman" w:cs="Arial" w:ascii="Arial" w:hAnsi="Arial"/>
          <w:bCs/>
          <w:sz w:val="16"/>
          <w:szCs w:val="16"/>
        </w:rPr>
      </w:pPr>
      <w:r>
        <w:rPr>
          <w:rFonts w:eastAsia="Times New Roman" w:cs="Arial" w:ascii="Arial" w:hAnsi="Arial"/>
          <w:bCs/>
          <w:sz w:val="16"/>
          <w:szCs w:val="16"/>
        </w:rPr>
        <w:t>Incorporate periodic review of assumptions used in liquidity projections</w:t>
      </w:r>
    </w:p>
    <w:p>
      <w:pPr>
        <w:pStyle w:val="ListParagraph"/>
        <w:numPr>
          <w:ilvl w:val="0"/>
          <w:numId w:val="3"/>
        </w:numPr>
        <w:spacing w:lineRule="auto" w:line="360"/>
        <w:rPr>
          <w:rFonts w:eastAsia="Times New Roman" w:cs="Arial" w:ascii="Arial" w:hAnsi="Arial"/>
          <w:bCs/>
          <w:sz w:val="16"/>
          <w:szCs w:val="16"/>
        </w:rPr>
      </w:pPr>
      <w:r>
        <w:rPr>
          <w:rFonts w:eastAsia="Times New Roman" w:cs="Arial" w:ascii="Arial" w:hAnsi="Arial"/>
          <w:bCs/>
          <w:sz w:val="16"/>
          <w:szCs w:val="16"/>
        </w:rPr>
        <w:t>Utilize cash flow projections</w:t>
      </w:r>
    </w:p>
    <w:p>
      <w:pPr>
        <w:pStyle w:val="ListParagraph"/>
        <w:numPr>
          <w:ilvl w:val="0"/>
          <w:numId w:val="3"/>
        </w:numPr>
        <w:spacing w:lineRule="auto" w:line="360"/>
        <w:rPr>
          <w:rFonts w:eastAsia="Times New Roman" w:cs="Arial" w:ascii="Arial" w:hAnsi="Arial"/>
          <w:bCs/>
          <w:sz w:val="16"/>
          <w:szCs w:val="16"/>
        </w:rPr>
      </w:pPr>
      <w:r>
        <w:rPr>
          <w:rFonts w:eastAsia="Times New Roman" w:cs="Arial" w:ascii="Arial" w:hAnsi="Arial"/>
          <w:bCs/>
          <w:sz w:val="16"/>
          <w:szCs w:val="16"/>
        </w:rPr>
        <w:t>Maintain target levels of unpledged liquid asset reserves</w:t>
      </w:r>
    </w:p>
    <w:p>
      <w:pPr>
        <w:pStyle w:val="ListParagraph"/>
        <w:numPr>
          <w:ilvl w:val="0"/>
          <w:numId w:val="3"/>
        </w:numPr>
        <w:spacing w:lineRule="auto" w:line="360"/>
        <w:rPr>
          <w:rFonts w:eastAsia="Times New Roman" w:cs="Arial" w:ascii="Arial" w:hAnsi="Arial"/>
          <w:bCs/>
          <w:sz w:val="16"/>
          <w:szCs w:val="16"/>
        </w:rPr>
      </w:pPr>
      <w:r>
        <w:rPr>
          <w:rFonts w:eastAsia="Times New Roman" w:cs="Arial" w:ascii="Arial" w:hAnsi="Arial"/>
          <w:bCs/>
          <w:sz w:val="16"/>
          <w:szCs w:val="16"/>
        </w:rPr>
        <w:t>Consider and manage volatile liability dependence</w:t>
      </w:r>
    </w:p>
    <w:p>
      <w:pPr>
        <w:pStyle w:val="ListParagraph"/>
        <w:numPr>
          <w:ilvl w:val="0"/>
          <w:numId w:val="3"/>
        </w:numPr>
        <w:spacing w:lineRule="auto" w:line="360"/>
        <w:rPr>
          <w:rFonts w:eastAsia="Times New Roman" w:cs="Arial" w:ascii="Arial" w:hAnsi="Arial"/>
          <w:bCs/>
          <w:sz w:val="16"/>
          <w:szCs w:val="16"/>
        </w:rPr>
      </w:pPr>
      <w:r>
        <w:rPr>
          <w:rFonts w:eastAsia="Times New Roman" w:cs="Arial" w:ascii="Arial" w:hAnsi="Arial"/>
          <w:bCs/>
          <w:sz w:val="16"/>
          <w:szCs w:val="16"/>
        </w:rPr>
        <w:t>Address funding concentrations</w:t>
      </w:r>
    </w:p>
    <w:p>
      <w:pPr>
        <w:pStyle w:val="ListParagraph"/>
        <w:numPr>
          <w:ilvl w:val="0"/>
          <w:numId w:val="3"/>
        </w:numPr>
        <w:spacing w:lineRule="auto" w:line="360"/>
        <w:rPr>
          <w:rFonts w:eastAsia="Times New Roman" w:cs="Arial" w:ascii="Arial" w:hAnsi="Arial"/>
          <w:bCs/>
          <w:sz w:val="16"/>
          <w:szCs w:val="16"/>
        </w:rPr>
      </w:pPr>
      <w:r>
        <w:rPr>
          <w:rFonts w:eastAsia="Times New Roman" w:cs="Arial" w:ascii="Arial" w:hAnsi="Arial"/>
          <w:bCs/>
          <w:sz w:val="16"/>
          <w:szCs w:val="16"/>
        </w:rPr>
        <w:t>Consider contingent exposures like undrawn credit lines</w:t>
      </w:r>
    </w:p>
    <w:p>
      <w:pPr>
        <w:pStyle w:val="ListParagraph"/>
        <w:numPr>
          <w:ilvl w:val="0"/>
          <w:numId w:val="3"/>
        </w:numPr>
        <w:spacing w:lineRule="auto" w:line="360"/>
        <w:rPr>
          <w:rFonts w:eastAsia="Times New Roman" w:cs="Arial" w:ascii="Arial" w:hAnsi="Arial"/>
          <w:bCs/>
          <w:sz w:val="16"/>
          <w:szCs w:val="16"/>
        </w:rPr>
      </w:pPr>
      <w:r>
        <w:rPr>
          <w:rFonts w:eastAsia="Times New Roman" w:cs="Arial" w:ascii="Arial" w:hAnsi="Arial"/>
          <w:bCs/>
          <w:sz w:val="16"/>
          <w:szCs w:val="16"/>
        </w:rPr>
        <w:t>Provide management reporting of the type and frequency specified in the policy.</w:t>
      </w:r>
    </w:p>
    <w:p>
      <w:pPr>
        <w:pStyle w:val="Heading1"/>
        <w:spacing w:lineRule="auto" w:line="360"/>
        <w:rPr>
          <w:rFonts w:ascii="Arial" w:hAnsi="Arial"/>
          <w:sz w:val="16"/>
          <w:szCs w:val="16"/>
        </w:rPr>
      </w:pPr>
      <w:bookmarkStart w:id="10" w:name="_Toc285613947"/>
      <w:bookmarkEnd w:id="10"/>
      <w:r>
        <w:rPr>
          <w:rFonts w:ascii="Arial" w:hAnsi="Arial"/>
          <w:sz w:val="16"/>
          <w:szCs w:val="16"/>
        </w:rPr>
        <w:t>Funding Sources</w:t>
      </w:r>
    </w:p>
    <w:p>
      <w:pPr>
        <w:pStyle w:val="Normal"/>
        <w:spacing w:lineRule="auto" w:line="360"/>
        <w:rPr>
          <w:rFonts w:cs="Arial" w:ascii="Arial" w:hAnsi="Arial"/>
          <w:sz w:val="16"/>
          <w:szCs w:val="16"/>
        </w:rPr>
      </w:pPr>
      <w:r>
        <w:rPr>
          <w:rFonts w:cs="Arial" w:ascii="Arial" w:hAnsi="Arial"/>
          <w:sz w:val="16"/>
          <w:szCs w:val="16"/>
        </w:rPr>
        <w:t xml:space="preserve">It is the intention of XYZ management to develop a diverse set of funding sources. Our primary source of funding will be our retail deposit base. We will generate this funding by aggressively marketing in our trade area and by actively seeking demand deposits through service-related tactics and savings deposits through competitive pricing tactics. </w:t>
      </w:r>
    </w:p>
    <w:p>
      <w:pPr>
        <w:pStyle w:val="Normal"/>
        <w:spacing w:lineRule="auto" w:line="360"/>
        <w:rPr>
          <w:rFonts w:cs="Arial" w:ascii="Arial" w:hAnsi="Arial"/>
          <w:sz w:val="16"/>
          <w:szCs w:val="16"/>
        </w:rPr>
      </w:pPr>
      <w:r>
        <w:rPr>
          <w:rFonts w:cs="Arial" w:ascii="Arial" w:hAnsi="Arial"/>
          <w:sz w:val="16"/>
          <w:szCs w:val="16"/>
        </w:rPr>
        <w:t>Our bank has historically recognized the need for funding sources that go beyond our most important source – our retail deposit business – and we have created a funding program that identifies various wholesale funding sources that can be used whenever appropriate. We execute a liquidity program that uses both asset-based and liability-based sources and we do favor retail deposits whenever they are available at efficient cost. To sustain growth of retail deposits while managing our cost of funds, we have developed and actively manage a Core Funding strategy. In those circumstances where wholesale funding offers either a funding structure or cost efficiency not available with retail deposits, we will evaluate and use these sources as part of our normal funding program.</w:t>
      </w:r>
    </w:p>
    <w:p>
      <w:pPr>
        <w:pStyle w:val="Normal"/>
        <w:spacing w:lineRule="auto" w:line="360"/>
        <w:rPr>
          <w:rFonts w:cs="Arial" w:ascii="Arial" w:hAnsi="Arial"/>
          <w:sz w:val="16"/>
          <w:szCs w:val="16"/>
        </w:rPr>
      </w:pPr>
      <w:r>
        <w:rPr>
          <w:rFonts w:cs="Arial" w:ascii="Arial" w:hAnsi="Arial"/>
          <w:sz w:val="16"/>
          <w:szCs w:val="16"/>
        </w:rPr>
        <w:t xml:space="preserve">Diversity is promoted by utilizing other sources of funds in addition to our retail deposit base and then placing policy limits on the use of any Near-Core and Non-Core Funding. Some of these funding sources will be used as </w:t>
      </w:r>
      <w:r>
        <w:rPr>
          <w:rFonts w:cs="Arial" w:ascii="Arial" w:hAnsi="Arial"/>
          <w:b/>
          <w:i/>
          <w:sz w:val="16"/>
          <w:szCs w:val="16"/>
        </w:rPr>
        <w:t>base funding sources</w:t>
      </w:r>
      <w:r>
        <w:rPr>
          <w:rFonts w:cs="Arial" w:ascii="Arial" w:hAnsi="Arial"/>
          <w:sz w:val="16"/>
          <w:szCs w:val="16"/>
        </w:rPr>
        <w:t xml:space="preserve"> to meet business plan liquidity needs. Other sources will be reserved as </w:t>
      </w:r>
      <w:r>
        <w:rPr>
          <w:rFonts w:cs="Arial" w:ascii="Arial" w:hAnsi="Arial"/>
          <w:b/>
          <w:i/>
          <w:sz w:val="16"/>
          <w:szCs w:val="16"/>
        </w:rPr>
        <w:t>contingent funding sources</w:t>
      </w:r>
      <w:r>
        <w:rPr>
          <w:rFonts w:cs="Arial" w:ascii="Arial" w:hAnsi="Arial"/>
          <w:sz w:val="16"/>
          <w:szCs w:val="16"/>
        </w:rPr>
        <w:t xml:space="preserve"> so they are available should stress events occur that cause unusually high levels of cash outflows (uses) or restrict availability of one or more regular sources of funding. Some sources will serve as both base and contingent sources. Funding sources developed will include both secured and unsecured sources.</w:t>
      </w:r>
    </w:p>
    <w:p>
      <w:pPr>
        <w:pStyle w:val="Normal"/>
        <w:spacing w:lineRule="auto" w:line="360"/>
        <w:rPr>
          <w:rFonts w:cs="Arial" w:ascii="Arial" w:hAnsi="Arial"/>
          <w:sz w:val="16"/>
          <w:szCs w:val="16"/>
        </w:rPr>
      </w:pPr>
      <w:r>
        <w:rPr>
          <w:rFonts w:cs="Arial" w:ascii="Arial" w:hAnsi="Arial"/>
          <w:sz w:val="16"/>
          <w:szCs w:val="16"/>
        </w:rPr>
        <w:t xml:space="preserve">The following table lists the Near-Core and Non-Core Funding source, its status, role, and policy limits as a percentage of total assets, applicable to XYZ Bank only. </w:t>
      </w:r>
    </w:p>
    <w:p>
      <w:pPr>
        <w:pStyle w:val="Normal"/>
        <w:spacing w:lineRule="auto" w:line="360" w:before="0" w:after="0"/>
        <w:rPr>
          <w:rFonts w:cs="Arial" w:ascii="Arial" w:hAnsi="Arial"/>
          <w:sz w:val="16"/>
          <w:szCs w:val="16"/>
        </w:rPr>
      </w:pPr>
      <w:r>
        <w:rPr>
          <w:rFonts w:cs="Arial" w:ascii="Arial" w:hAnsi="Arial"/>
          <w:sz w:val="16"/>
          <w:szCs w:val="16"/>
        </w:rPr>
      </w:r>
    </w:p>
    <w:tbl>
      <w:tblPr>
        <w:jc w:val="left"/>
        <w:tblInd w:w="0" w:type="dxa"/>
        <w:tblBorders>
          <w:top w:val="single" w:sz="4" w:space="0" w:color="000001"/>
          <w:left w:val="single" w:sz="4" w:space="0" w:color="000001"/>
          <w:bottom w:val="single" w:sz="4" w:space="0" w:color="000001"/>
          <w:insideH w:val="single" w:sz="4" w:space="0" w:color="000001"/>
          <w:right w:val="single" w:sz="4" w:space="0" w:color="000001"/>
          <w:insideV w:val="single" w:sz="4" w:space="0" w:color="000001"/>
        </w:tblBorders>
        <w:tblCellMar>
          <w:top w:w="0" w:type="dxa"/>
          <w:left w:w="108" w:type="dxa"/>
          <w:bottom w:w="0" w:type="dxa"/>
          <w:right w:w="108" w:type="dxa"/>
        </w:tblCellMar>
      </w:tblPr>
      <w:tblGrid>
        <w:gridCol w:w="2452"/>
        <w:gridCol w:w="2434"/>
        <w:gridCol w:w="2263"/>
        <w:gridCol w:w="2426"/>
      </w:tblGrid>
      <w:tr>
        <w:trPr>
          <w:cantSplit w:val="false"/>
        </w:trPr>
        <w:tc>
          <w:tcPr>
            <w:tcW w:w="245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spacing w:lineRule="auto" w:line="360" w:before="0" w:after="200"/>
              <w:rPr>
                <w:rFonts w:cs="Arial" w:ascii="Arial" w:hAnsi="Arial"/>
                <w:sz w:val="16"/>
                <w:szCs w:val="16"/>
                <w:u w:val="single"/>
              </w:rPr>
            </w:pPr>
            <w:r>
              <w:rPr>
                <w:rFonts w:cs="Arial" w:ascii="Arial" w:hAnsi="Arial"/>
                <w:sz w:val="16"/>
                <w:szCs w:val="16"/>
                <w:u w:val="single"/>
              </w:rPr>
              <w:t>Source</w:t>
            </w:r>
          </w:p>
        </w:tc>
        <w:tc>
          <w:tcPr>
            <w:tcW w:w="243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spacing w:lineRule="auto" w:line="360" w:before="0" w:after="200"/>
              <w:rPr>
                <w:rFonts w:cs="Arial" w:ascii="Arial" w:hAnsi="Arial"/>
                <w:sz w:val="16"/>
                <w:szCs w:val="16"/>
                <w:u w:val="single"/>
              </w:rPr>
            </w:pPr>
            <w:r>
              <w:rPr>
                <w:rFonts w:cs="Arial" w:ascii="Arial" w:hAnsi="Arial"/>
                <w:sz w:val="16"/>
                <w:szCs w:val="16"/>
                <w:u w:val="single"/>
              </w:rPr>
              <w:t>Status</w:t>
            </w:r>
          </w:p>
        </w:tc>
        <w:tc>
          <w:tcPr>
            <w:tcW w:w="2263"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spacing w:lineRule="auto" w:line="360" w:before="0" w:after="200"/>
              <w:rPr>
                <w:rFonts w:cs="Arial" w:ascii="Arial" w:hAnsi="Arial"/>
                <w:sz w:val="16"/>
                <w:szCs w:val="16"/>
                <w:u w:val="single"/>
              </w:rPr>
            </w:pPr>
            <w:r>
              <w:rPr>
                <w:rFonts w:cs="Arial" w:ascii="Arial" w:hAnsi="Arial"/>
                <w:sz w:val="16"/>
                <w:szCs w:val="16"/>
                <w:u w:val="single"/>
              </w:rPr>
              <w:t>Role</w:t>
            </w:r>
          </w:p>
        </w:tc>
        <w:tc>
          <w:tcPr>
            <w:tcW w:w="242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spacing w:lineRule="auto" w:line="360" w:before="0" w:after="200"/>
              <w:rPr>
                <w:rFonts w:cs="Arial" w:ascii="Arial" w:hAnsi="Arial"/>
                <w:sz w:val="16"/>
                <w:szCs w:val="16"/>
                <w:u w:val="single"/>
              </w:rPr>
            </w:pPr>
            <w:r>
              <w:rPr>
                <w:rFonts w:cs="Arial" w:ascii="Arial" w:hAnsi="Arial"/>
                <w:sz w:val="16"/>
                <w:szCs w:val="16"/>
                <w:u w:val="single"/>
              </w:rPr>
              <w:t>Policy Limit</w:t>
            </w:r>
          </w:p>
        </w:tc>
      </w:tr>
      <w:tr>
        <w:trPr>
          <w:cantSplit w:val="false"/>
        </w:trPr>
        <w:tc>
          <w:tcPr>
            <w:tcW w:w="245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spacing w:lineRule="auto" w:line="360" w:before="0" w:after="200"/>
              <w:rPr>
                <w:rFonts w:cs="Arial" w:ascii="Arial" w:hAnsi="Arial"/>
                <w:sz w:val="16"/>
                <w:szCs w:val="16"/>
                <w:u w:val="single"/>
              </w:rPr>
            </w:pPr>
            <w:r>
              <w:rPr>
                <w:rFonts w:cs="Arial" w:ascii="Arial" w:hAnsi="Arial"/>
                <w:sz w:val="16"/>
                <w:szCs w:val="16"/>
                <w:u w:val="single"/>
              </w:rPr>
              <w:t>Near-Core</w:t>
            </w:r>
          </w:p>
        </w:tc>
        <w:tc>
          <w:tcPr>
            <w:tcW w:w="243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spacing w:lineRule="auto" w:line="360" w:before="0" w:after="200"/>
              <w:rPr>
                <w:rFonts w:cs="Arial" w:ascii="Arial" w:hAnsi="Arial"/>
                <w:sz w:val="16"/>
                <w:szCs w:val="16"/>
                <w:u w:val="single"/>
              </w:rPr>
            </w:pPr>
            <w:r>
              <w:rPr>
                <w:rFonts w:cs="Arial" w:ascii="Arial" w:hAnsi="Arial"/>
                <w:sz w:val="16"/>
                <w:szCs w:val="16"/>
                <w:u w:val="single"/>
              </w:rPr>
            </w:r>
          </w:p>
        </w:tc>
        <w:tc>
          <w:tcPr>
            <w:tcW w:w="2263"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spacing w:lineRule="auto" w:line="360" w:before="0" w:after="200"/>
              <w:rPr>
                <w:rFonts w:cs="Arial" w:ascii="Arial" w:hAnsi="Arial"/>
                <w:sz w:val="16"/>
                <w:szCs w:val="16"/>
                <w:u w:val="single"/>
              </w:rPr>
            </w:pPr>
            <w:r>
              <w:rPr>
                <w:rFonts w:cs="Arial" w:ascii="Arial" w:hAnsi="Arial"/>
                <w:sz w:val="16"/>
                <w:szCs w:val="16"/>
                <w:u w:val="single"/>
              </w:rPr>
            </w:r>
          </w:p>
        </w:tc>
        <w:tc>
          <w:tcPr>
            <w:tcW w:w="242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spacing w:lineRule="auto" w:line="360" w:before="0" w:after="200"/>
              <w:rPr>
                <w:rFonts w:cs="Arial" w:ascii="Arial" w:hAnsi="Arial"/>
                <w:sz w:val="16"/>
                <w:szCs w:val="16"/>
                <w:u w:val="single"/>
              </w:rPr>
            </w:pPr>
            <w:r>
              <w:rPr>
                <w:rFonts w:cs="Arial" w:ascii="Arial" w:hAnsi="Arial"/>
                <w:sz w:val="16"/>
                <w:szCs w:val="16"/>
                <w:u w:val="single"/>
              </w:rPr>
            </w:r>
          </w:p>
        </w:tc>
      </w:tr>
      <w:tr>
        <w:trPr>
          <w:cantSplit w:val="false"/>
        </w:trPr>
        <w:tc>
          <w:tcPr>
            <w:tcW w:w="245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spacing w:lineRule="auto" w:line="360" w:before="0" w:after="200"/>
              <w:rPr>
                <w:rFonts w:cs="Arial" w:ascii="Arial" w:hAnsi="Arial"/>
                <w:sz w:val="16"/>
                <w:szCs w:val="16"/>
              </w:rPr>
            </w:pPr>
            <w:r>
              <w:rPr>
                <w:rFonts w:cs="Arial" w:ascii="Arial" w:hAnsi="Arial"/>
                <w:sz w:val="16"/>
                <w:szCs w:val="16"/>
              </w:rPr>
              <w:t>Jumbo CDs</w:t>
            </w:r>
          </w:p>
        </w:tc>
        <w:tc>
          <w:tcPr>
            <w:tcW w:w="243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spacing w:lineRule="auto" w:line="360" w:before="0" w:after="200"/>
              <w:rPr>
                <w:rFonts w:cs="Arial" w:ascii="Arial" w:hAnsi="Arial"/>
                <w:sz w:val="16"/>
                <w:szCs w:val="16"/>
              </w:rPr>
            </w:pPr>
            <w:r>
              <w:rPr>
                <w:rFonts w:cs="Arial" w:ascii="Arial" w:hAnsi="Arial"/>
                <w:sz w:val="16"/>
                <w:szCs w:val="16"/>
              </w:rPr>
              <w:t>Large balance CDs only partially insured</w:t>
            </w:r>
          </w:p>
        </w:tc>
        <w:tc>
          <w:tcPr>
            <w:tcW w:w="2263"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spacing w:lineRule="auto" w:line="360" w:before="0" w:after="200"/>
              <w:rPr>
                <w:rFonts w:cs="Arial" w:ascii="Arial" w:hAnsi="Arial"/>
                <w:sz w:val="16"/>
                <w:szCs w:val="16"/>
              </w:rPr>
            </w:pPr>
            <w:r>
              <w:rPr>
                <w:rFonts w:cs="Arial" w:ascii="Arial" w:hAnsi="Arial"/>
                <w:sz w:val="16"/>
                <w:szCs w:val="16"/>
              </w:rPr>
              <w:t>Base</w:t>
            </w:r>
          </w:p>
        </w:tc>
        <w:tc>
          <w:tcPr>
            <w:tcW w:w="242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spacing w:lineRule="auto" w:line="360" w:before="0" w:after="200"/>
              <w:rPr>
                <w:rFonts w:cs="Arial" w:ascii="Arial" w:hAnsi="Arial"/>
                <w:sz w:val="16"/>
                <w:szCs w:val="16"/>
              </w:rPr>
            </w:pPr>
            <w:r>
              <w:rPr>
                <w:rFonts w:cs="Arial" w:ascii="Arial" w:hAnsi="Arial"/>
                <w:sz w:val="16"/>
                <w:szCs w:val="16"/>
              </w:rPr>
              <w:t>30%</w:t>
            </w:r>
          </w:p>
        </w:tc>
      </w:tr>
      <w:tr>
        <w:trPr>
          <w:cantSplit w:val="false"/>
        </w:trPr>
        <w:tc>
          <w:tcPr>
            <w:tcW w:w="245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spacing w:lineRule="auto" w:line="360" w:before="0" w:after="200"/>
              <w:rPr>
                <w:rFonts w:cs="Arial" w:ascii="Arial" w:hAnsi="Arial"/>
                <w:sz w:val="16"/>
                <w:szCs w:val="16"/>
              </w:rPr>
            </w:pPr>
            <w:r>
              <w:rPr>
                <w:rFonts w:cs="Arial" w:ascii="Arial" w:hAnsi="Arial"/>
                <w:sz w:val="16"/>
                <w:szCs w:val="16"/>
              </w:rPr>
              <w:t>CDARS Reciprocal</w:t>
            </w:r>
          </w:p>
        </w:tc>
        <w:tc>
          <w:tcPr>
            <w:tcW w:w="243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spacing w:lineRule="auto" w:line="360" w:before="0" w:after="200"/>
              <w:rPr>
                <w:rFonts w:cs="Arial" w:ascii="Arial" w:hAnsi="Arial"/>
                <w:sz w:val="16"/>
                <w:szCs w:val="16"/>
              </w:rPr>
            </w:pPr>
            <w:r>
              <w:rPr>
                <w:rFonts w:cs="Arial" w:ascii="Arial" w:hAnsi="Arial"/>
                <w:sz w:val="16"/>
                <w:szCs w:val="16"/>
              </w:rPr>
              <w:t>Large Balance Insured CDs</w:t>
            </w:r>
          </w:p>
        </w:tc>
        <w:tc>
          <w:tcPr>
            <w:tcW w:w="2263"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spacing w:lineRule="auto" w:line="360" w:before="0" w:after="200"/>
              <w:rPr>
                <w:rFonts w:cs="Arial" w:ascii="Arial" w:hAnsi="Arial"/>
                <w:sz w:val="16"/>
                <w:szCs w:val="16"/>
              </w:rPr>
            </w:pPr>
            <w:r>
              <w:rPr>
                <w:rFonts w:cs="Arial" w:ascii="Arial" w:hAnsi="Arial"/>
                <w:sz w:val="16"/>
                <w:szCs w:val="16"/>
              </w:rPr>
              <w:t xml:space="preserve">Base and </w:t>
              <w:br/>
              <w:t>Contingent</w:t>
            </w:r>
          </w:p>
        </w:tc>
        <w:tc>
          <w:tcPr>
            <w:tcW w:w="242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spacing w:lineRule="auto" w:line="360" w:before="0" w:after="200"/>
              <w:rPr>
                <w:rFonts w:cs="Arial" w:ascii="Arial" w:hAnsi="Arial"/>
                <w:sz w:val="16"/>
                <w:szCs w:val="16"/>
              </w:rPr>
            </w:pPr>
            <w:r>
              <w:rPr>
                <w:rFonts w:cs="Arial" w:ascii="Arial" w:hAnsi="Arial"/>
                <w:sz w:val="16"/>
                <w:szCs w:val="16"/>
              </w:rPr>
              <w:t>10%, on top of brokered deposits</w:t>
            </w:r>
          </w:p>
        </w:tc>
      </w:tr>
      <w:tr>
        <w:trPr>
          <w:cantSplit w:val="false"/>
        </w:trPr>
        <w:tc>
          <w:tcPr>
            <w:tcW w:w="245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spacing w:lineRule="auto" w:line="360" w:before="0" w:after="200"/>
              <w:rPr>
                <w:rFonts w:cs="Arial" w:ascii="Arial" w:hAnsi="Arial"/>
                <w:sz w:val="16"/>
                <w:szCs w:val="16"/>
              </w:rPr>
            </w:pPr>
            <w:r>
              <w:rPr>
                <w:rFonts w:cs="Arial" w:ascii="Arial" w:hAnsi="Arial"/>
                <w:sz w:val="16"/>
                <w:szCs w:val="16"/>
              </w:rPr>
              <w:t>Money Aisle</w:t>
            </w:r>
          </w:p>
        </w:tc>
        <w:tc>
          <w:tcPr>
            <w:tcW w:w="243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spacing w:lineRule="auto" w:line="360" w:before="0" w:after="200"/>
              <w:rPr>
                <w:rFonts w:cs="Arial" w:ascii="Arial" w:hAnsi="Arial"/>
                <w:sz w:val="16"/>
                <w:szCs w:val="16"/>
              </w:rPr>
            </w:pPr>
            <w:r>
              <w:rPr>
                <w:rFonts w:cs="Arial" w:ascii="Arial" w:hAnsi="Arial"/>
                <w:sz w:val="16"/>
                <w:szCs w:val="16"/>
              </w:rPr>
              <w:t>Internet CDs from local market</w:t>
            </w:r>
          </w:p>
        </w:tc>
        <w:tc>
          <w:tcPr>
            <w:tcW w:w="2263"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spacing w:lineRule="auto" w:line="360" w:before="0" w:after="200"/>
              <w:rPr>
                <w:rFonts w:cs="Arial" w:ascii="Arial" w:hAnsi="Arial"/>
                <w:sz w:val="16"/>
                <w:szCs w:val="16"/>
              </w:rPr>
            </w:pPr>
            <w:r>
              <w:rPr>
                <w:rFonts w:cs="Arial" w:ascii="Arial" w:hAnsi="Arial"/>
                <w:sz w:val="16"/>
                <w:szCs w:val="16"/>
              </w:rPr>
              <w:t xml:space="preserve">Base and </w:t>
              <w:br/>
              <w:t>Contingent</w:t>
            </w:r>
          </w:p>
        </w:tc>
        <w:tc>
          <w:tcPr>
            <w:tcW w:w="242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spacing w:lineRule="auto" w:line="360" w:before="0" w:after="200"/>
              <w:rPr>
                <w:rFonts w:cs="Arial" w:ascii="Arial" w:hAnsi="Arial"/>
                <w:sz w:val="16"/>
                <w:szCs w:val="16"/>
              </w:rPr>
            </w:pPr>
            <w:r>
              <w:rPr>
                <w:rFonts w:cs="Arial" w:ascii="Arial" w:hAnsi="Arial"/>
                <w:sz w:val="16"/>
                <w:szCs w:val="16"/>
              </w:rPr>
              <w:t>10%</w:t>
            </w:r>
          </w:p>
        </w:tc>
      </w:tr>
      <w:tr>
        <w:trPr>
          <w:cantSplit w:val="false"/>
        </w:trPr>
        <w:tc>
          <w:tcPr>
            <w:tcW w:w="245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spacing w:lineRule="auto" w:line="360" w:before="0" w:after="200"/>
              <w:rPr>
                <w:rFonts w:cs="Arial" w:ascii="Arial" w:hAnsi="Arial"/>
                <w:sz w:val="16"/>
                <w:szCs w:val="16"/>
                <w:u w:val="single"/>
              </w:rPr>
            </w:pPr>
            <w:r>
              <w:rPr>
                <w:rFonts w:cs="Arial" w:ascii="Arial" w:hAnsi="Arial"/>
                <w:sz w:val="16"/>
                <w:szCs w:val="16"/>
                <w:u w:val="single"/>
              </w:rPr>
              <w:t>Non-Core</w:t>
            </w:r>
          </w:p>
        </w:tc>
        <w:tc>
          <w:tcPr>
            <w:tcW w:w="243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spacing w:lineRule="auto" w:line="360" w:before="0" w:after="200"/>
              <w:rPr>
                <w:rFonts w:cs="Arial" w:ascii="Arial" w:hAnsi="Arial"/>
                <w:sz w:val="16"/>
                <w:szCs w:val="16"/>
                <w:u w:val="single"/>
              </w:rPr>
            </w:pPr>
            <w:r>
              <w:rPr>
                <w:rFonts w:cs="Arial" w:ascii="Arial" w:hAnsi="Arial"/>
                <w:sz w:val="16"/>
                <w:szCs w:val="16"/>
                <w:u w:val="single"/>
              </w:rPr>
            </w:r>
          </w:p>
        </w:tc>
        <w:tc>
          <w:tcPr>
            <w:tcW w:w="2263"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spacing w:lineRule="auto" w:line="360" w:before="0" w:after="200"/>
              <w:rPr>
                <w:rFonts w:cs="Arial" w:ascii="Arial" w:hAnsi="Arial"/>
                <w:sz w:val="16"/>
                <w:szCs w:val="16"/>
                <w:u w:val="single"/>
              </w:rPr>
            </w:pPr>
            <w:r>
              <w:rPr>
                <w:rFonts w:cs="Arial" w:ascii="Arial" w:hAnsi="Arial"/>
                <w:sz w:val="16"/>
                <w:szCs w:val="16"/>
                <w:u w:val="single"/>
              </w:rPr>
            </w:r>
          </w:p>
        </w:tc>
        <w:tc>
          <w:tcPr>
            <w:tcW w:w="242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spacing w:lineRule="auto" w:line="360" w:before="0" w:after="200"/>
              <w:rPr>
                <w:rFonts w:cs="Arial" w:ascii="Arial" w:hAnsi="Arial"/>
                <w:sz w:val="16"/>
                <w:szCs w:val="16"/>
                <w:u w:val="single"/>
              </w:rPr>
            </w:pPr>
            <w:r>
              <w:rPr>
                <w:rFonts w:cs="Arial" w:ascii="Arial" w:hAnsi="Arial"/>
                <w:sz w:val="16"/>
                <w:szCs w:val="16"/>
                <w:u w:val="single"/>
              </w:rPr>
            </w:r>
          </w:p>
        </w:tc>
      </w:tr>
      <w:tr>
        <w:trPr>
          <w:cantSplit w:val="false"/>
        </w:trPr>
        <w:tc>
          <w:tcPr>
            <w:tcW w:w="245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spacing w:lineRule="auto" w:line="360" w:before="0" w:after="200"/>
              <w:rPr>
                <w:rFonts w:cs="Arial" w:ascii="Arial" w:hAnsi="Arial"/>
                <w:sz w:val="16"/>
                <w:szCs w:val="16"/>
              </w:rPr>
            </w:pPr>
            <w:r>
              <w:rPr>
                <w:rFonts w:cs="Arial" w:ascii="Arial" w:hAnsi="Arial"/>
                <w:sz w:val="16"/>
                <w:szCs w:val="16"/>
              </w:rPr>
              <w:t>FHLB Chicago</w:t>
            </w:r>
          </w:p>
        </w:tc>
        <w:tc>
          <w:tcPr>
            <w:tcW w:w="243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spacing w:lineRule="auto" w:line="360" w:before="0" w:after="200"/>
              <w:rPr>
                <w:rFonts w:cs="Arial" w:ascii="Arial" w:hAnsi="Arial"/>
                <w:sz w:val="16"/>
                <w:szCs w:val="16"/>
              </w:rPr>
            </w:pPr>
            <w:r>
              <w:rPr>
                <w:rFonts w:cs="Arial" w:ascii="Arial" w:hAnsi="Arial"/>
                <w:sz w:val="16"/>
                <w:szCs w:val="16"/>
              </w:rPr>
              <w:t>Sec Overnight Borrowings and Secured Advance Lines</w:t>
            </w:r>
          </w:p>
        </w:tc>
        <w:tc>
          <w:tcPr>
            <w:tcW w:w="2263"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spacing w:lineRule="auto" w:line="360" w:before="0" w:after="200"/>
              <w:rPr>
                <w:rFonts w:cs="Arial" w:ascii="Arial" w:hAnsi="Arial"/>
                <w:sz w:val="16"/>
                <w:szCs w:val="16"/>
              </w:rPr>
            </w:pPr>
            <w:r>
              <w:rPr>
                <w:rFonts w:cs="Arial" w:ascii="Arial" w:hAnsi="Arial"/>
                <w:sz w:val="16"/>
                <w:szCs w:val="16"/>
              </w:rPr>
              <w:t>Base and Contingent</w:t>
            </w:r>
          </w:p>
        </w:tc>
        <w:tc>
          <w:tcPr>
            <w:tcW w:w="242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spacing w:lineRule="auto" w:line="360" w:before="0" w:after="200"/>
              <w:rPr>
                <w:rFonts w:cs="Arial" w:ascii="Arial" w:hAnsi="Arial"/>
                <w:sz w:val="16"/>
                <w:szCs w:val="16"/>
              </w:rPr>
            </w:pPr>
            <w:r>
              <w:rPr>
                <w:rFonts w:cs="Arial" w:ascii="Arial" w:hAnsi="Arial"/>
                <w:sz w:val="16"/>
                <w:szCs w:val="16"/>
              </w:rPr>
              <w:t>25%</w:t>
            </w:r>
          </w:p>
        </w:tc>
      </w:tr>
      <w:tr>
        <w:trPr>
          <w:cantSplit w:val="false"/>
        </w:trPr>
        <w:tc>
          <w:tcPr>
            <w:tcW w:w="245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spacing w:lineRule="auto" w:line="360" w:before="0" w:after="200"/>
              <w:rPr>
                <w:rFonts w:cs="Arial" w:ascii="Arial" w:hAnsi="Arial"/>
                <w:sz w:val="16"/>
                <w:szCs w:val="16"/>
              </w:rPr>
            </w:pPr>
            <w:r>
              <w:rPr>
                <w:rFonts w:cs="Arial" w:ascii="Arial" w:hAnsi="Arial"/>
                <w:sz w:val="16"/>
                <w:szCs w:val="16"/>
              </w:rPr>
              <w:t>The Federal Reserve</w:t>
            </w:r>
          </w:p>
        </w:tc>
        <w:tc>
          <w:tcPr>
            <w:tcW w:w="243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spacing w:lineRule="auto" w:line="360" w:before="0" w:after="200"/>
              <w:rPr>
                <w:rFonts w:cs="Arial" w:ascii="Arial" w:hAnsi="Arial"/>
                <w:sz w:val="16"/>
                <w:szCs w:val="16"/>
              </w:rPr>
            </w:pPr>
            <w:r>
              <w:rPr>
                <w:rFonts w:cs="Arial" w:ascii="Arial" w:hAnsi="Arial"/>
                <w:sz w:val="16"/>
                <w:szCs w:val="16"/>
              </w:rPr>
              <w:t>Secured Borrowings</w:t>
            </w:r>
          </w:p>
        </w:tc>
        <w:tc>
          <w:tcPr>
            <w:tcW w:w="2263"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spacing w:lineRule="auto" w:line="360" w:before="0" w:after="200"/>
              <w:rPr>
                <w:rFonts w:cs="Arial" w:ascii="Arial" w:hAnsi="Arial"/>
                <w:sz w:val="16"/>
                <w:szCs w:val="16"/>
              </w:rPr>
            </w:pPr>
            <w:r>
              <w:rPr>
                <w:rFonts w:cs="Arial" w:ascii="Arial" w:hAnsi="Arial"/>
                <w:sz w:val="16"/>
                <w:szCs w:val="16"/>
              </w:rPr>
              <w:t>Contingent</w:t>
            </w:r>
          </w:p>
        </w:tc>
        <w:tc>
          <w:tcPr>
            <w:tcW w:w="242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spacing w:lineRule="auto" w:line="360" w:before="0" w:after="200"/>
              <w:rPr>
                <w:rFonts w:cs="Arial" w:ascii="Arial" w:hAnsi="Arial"/>
                <w:sz w:val="16"/>
                <w:szCs w:val="16"/>
              </w:rPr>
            </w:pPr>
            <w:r>
              <w:rPr>
                <w:rFonts w:cs="Arial" w:ascii="Arial" w:hAnsi="Arial"/>
                <w:sz w:val="16"/>
                <w:szCs w:val="16"/>
              </w:rPr>
              <w:t>20%</w:t>
            </w:r>
          </w:p>
        </w:tc>
      </w:tr>
      <w:tr>
        <w:trPr>
          <w:cantSplit w:val="false"/>
        </w:trPr>
        <w:tc>
          <w:tcPr>
            <w:tcW w:w="245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spacing w:lineRule="auto" w:line="360" w:before="0" w:after="200"/>
              <w:rPr>
                <w:rFonts w:cs="Arial" w:ascii="Arial" w:hAnsi="Arial"/>
                <w:sz w:val="16"/>
                <w:szCs w:val="16"/>
              </w:rPr>
            </w:pPr>
            <w:r>
              <w:rPr>
                <w:rFonts w:cs="Arial" w:ascii="Arial" w:hAnsi="Arial"/>
                <w:sz w:val="16"/>
                <w:szCs w:val="16"/>
              </w:rPr>
              <w:t>QwickRate</w:t>
            </w:r>
          </w:p>
        </w:tc>
        <w:tc>
          <w:tcPr>
            <w:tcW w:w="243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spacing w:lineRule="auto" w:line="360" w:before="0" w:after="200"/>
              <w:rPr>
                <w:rFonts w:cs="Arial" w:ascii="Arial" w:hAnsi="Arial"/>
                <w:sz w:val="16"/>
                <w:szCs w:val="16"/>
              </w:rPr>
            </w:pPr>
            <w:r>
              <w:rPr>
                <w:rFonts w:cs="Arial" w:ascii="Arial" w:hAnsi="Arial"/>
                <w:sz w:val="16"/>
                <w:szCs w:val="16"/>
              </w:rPr>
              <w:t>Unsec Insured CDs</w:t>
            </w:r>
          </w:p>
        </w:tc>
        <w:tc>
          <w:tcPr>
            <w:tcW w:w="2263"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spacing w:lineRule="auto" w:line="360" w:before="0" w:after="200"/>
              <w:rPr>
                <w:rFonts w:cs="Arial" w:ascii="Arial" w:hAnsi="Arial"/>
                <w:sz w:val="16"/>
                <w:szCs w:val="16"/>
              </w:rPr>
            </w:pPr>
            <w:r>
              <w:rPr>
                <w:rFonts w:cs="Arial" w:ascii="Arial" w:hAnsi="Arial"/>
                <w:sz w:val="16"/>
                <w:szCs w:val="16"/>
              </w:rPr>
              <w:t>Contingent</w:t>
            </w:r>
          </w:p>
        </w:tc>
        <w:tc>
          <w:tcPr>
            <w:tcW w:w="242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spacing w:lineRule="auto" w:line="360" w:before="0" w:after="200"/>
              <w:rPr>
                <w:rFonts w:cs="Arial" w:ascii="Arial" w:hAnsi="Arial"/>
                <w:sz w:val="16"/>
                <w:szCs w:val="16"/>
              </w:rPr>
            </w:pPr>
            <w:r>
              <w:rPr>
                <w:rFonts w:cs="Arial" w:ascii="Arial" w:hAnsi="Arial"/>
                <w:sz w:val="16"/>
                <w:szCs w:val="16"/>
              </w:rPr>
              <w:t>25%</w:t>
            </w:r>
          </w:p>
        </w:tc>
      </w:tr>
      <w:tr>
        <w:trPr>
          <w:trHeight w:val="539" w:hRule="atLeast"/>
          <w:cantSplit w:val="false"/>
        </w:trPr>
        <w:tc>
          <w:tcPr>
            <w:tcW w:w="245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spacing w:lineRule="auto" w:line="360" w:before="0" w:after="200"/>
              <w:rPr>
                <w:rFonts w:cs="Arial" w:ascii="Arial" w:hAnsi="Arial"/>
                <w:sz w:val="16"/>
                <w:szCs w:val="16"/>
              </w:rPr>
            </w:pPr>
            <w:r>
              <w:rPr>
                <w:rFonts w:cs="Arial" w:ascii="Arial" w:hAnsi="Arial"/>
                <w:sz w:val="16"/>
                <w:szCs w:val="16"/>
              </w:rPr>
              <w:t>Fed Funds</w:t>
            </w:r>
          </w:p>
        </w:tc>
        <w:tc>
          <w:tcPr>
            <w:tcW w:w="243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spacing w:lineRule="auto" w:line="360" w:before="0" w:after="200"/>
              <w:rPr>
                <w:rFonts w:cs="Arial" w:ascii="Arial" w:hAnsi="Arial"/>
                <w:sz w:val="16"/>
                <w:szCs w:val="16"/>
              </w:rPr>
            </w:pPr>
            <w:r>
              <w:rPr>
                <w:rFonts w:cs="Arial" w:ascii="Arial" w:hAnsi="Arial"/>
                <w:sz w:val="16"/>
                <w:szCs w:val="16"/>
              </w:rPr>
              <w:t xml:space="preserve">Unsec Fed Funds </w:t>
            </w:r>
          </w:p>
        </w:tc>
        <w:tc>
          <w:tcPr>
            <w:tcW w:w="2263"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spacing w:lineRule="auto" w:line="360" w:before="0" w:after="200"/>
              <w:rPr>
                <w:rFonts w:cs="Arial" w:ascii="Arial" w:hAnsi="Arial"/>
                <w:sz w:val="16"/>
                <w:szCs w:val="16"/>
              </w:rPr>
            </w:pPr>
            <w:r>
              <w:rPr>
                <w:rFonts w:cs="Arial" w:ascii="Arial" w:hAnsi="Arial"/>
                <w:sz w:val="16"/>
                <w:szCs w:val="16"/>
              </w:rPr>
              <w:t>Base and Contingent</w:t>
            </w:r>
          </w:p>
        </w:tc>
        <w:tc>
          <w:tcPr>
            <w:tcW w:w="242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spacing w:lineRule="auto" w:line="360" w:before="0" w:after="200"/>
              <w:rPr>
                <w:rFonts w:cs="Arial" w:ascii="Arial" w:hAnsi="Arial"/>
                <w:sz w:val="16"/>
                <w:szCs w:val="16"/>
              </w:rPr>
            </w:pPr>
            <w:r>
              <w:rPr>
                <w:rFonts w:cs="Arial" w:ascii="Arial" w:hAnsi="Arial"/>
                <w:sz w:val="16"/>
                <w:szCs w:val="16"/>
              </w:rPr>
              <w:t>10%</w:t>
            </w:r>
          </w:p>
        </w:tc>
      </w:tr>
      <w:tr>
        <w:trPr>
          <w:trHeight w:val="539" w:hRule="atLeast"/>
          <w:cantSplit w:val="false"/>
        </w:trPr>
        <w:tc>
          <w:tcPr>
            <w:tcW w:w="245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spacing w:lineRule="auto" w:line="360" w:before="0" w:after="200"/>
              <w:rPr>
                <w:rFonts w:cs="Arial" w:ascii="Arial" w:hAnsi="Arial"/>
                <w:sz w:val="16"/>
                <w:szCs w:val="16"/>
              </w:rPr>
            </w:pPr>
            <w:r>
              <w:rPr>
                <w:rFonts w:cs="Arial" w:ascii="Arial" w:hAnsi="Arial"/>
                <w:sz w:val="16"/>
                <w:szCs w:val="16"/>
              </w:rPr>
              <w:t>Brokered CDs</w:t>
            </w:r>
          </w:p>
        </w:tc>
        <w:tc>
          <w:tcPr>
            <w:tcW w:w="243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spacing w:lineRule="auto" w:line="360" w:before="0" w:after="200"/>
              <w:rPr>
                <w:rFonts w:cs="Arial" w:ascii="Arial" w:hAnsi="Arial"/>
                <w:sz w:val="16"/>
                <w:szCs w:val="16"/>
              </w:rPr>
            </w:pPr>
            <w:r>
              <w:rPr>
                <w:rFonts w:cs="Arial" w:ascii="Arial" w:hAnsi="Arial"/>
                <w:sz w:val="16"/>
                <w:szCs w:val="16"/>
              </w:rPr>
              <w:t>CDs obtained through brokers covered by FDIC insurance shield</w:t>
            </w:r>
          </w:p>
        </w:tc>
        <w:tc>
          <w:tcPr>
            <w:tcW w:w="2263"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spacing w:lineRule="auto" w:line="360" w:before="0" w:after="200"/>
              <w:rPr>
                <w:rFonts w:cs="Arial" w:ascii="Arial" w:hAnsi="Arial"/>
                <w:sz w:val="16"/>
                <w:szCs w:val="16"/>
              </w:rPr>
            </w:pPr>
            <w:r>
              <w:rPr>
                <w:rFonts w:cs="Arial" w:ascii="Arial" w:hAnsi="Arial"/>
                <w:sz w:val="16"/>
                <w:szCs w:val="16"/>
              </w:rPr>
              <w:t>Base and Contingent</w:t>
            </w:r>
          </w:p>
        </w:tc>
        <w:tc>
          <w:tcPr>
            <w:tcW w:w="242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spacing w:lineRule="auto" w:line="360" w:before="0" w:after="200"/>
              <w:rPr>
                <w:rFonts w:cs="Arial" w:ascii="Arial" w:hAnsi="Arial"/>
                <w:sz w:val="16"/>
                <w:szCs w:val="16"/>
              </w:rPr>
            </w:pPr>
            <w:r>
              <w:rPr>
                <w:rFonts w:cs="Arial" w:ascii="Arial" w:hAnsi="Arial"/>
                <w:sz w:val="16"/>
                <w:szCs w:val="16"/>
              </w:rPr>
              <w:t>25%</w:t>
            </w:r>
          </w:p>
        </w:tc>
      </w:tr>
    </w:tbl>
    <w:p>
      <w:pPr>
        <w:pStyle w:val="Heading1"/>
        <w:spacing w:lineRule="auto" w:line="360"/>
        <w:rPr>
          <w:rFonts w:ascii="Arial" w:hAnsi="Arial"/>
          <w:sz w:val="16"/>
          <w:szCs w:val="16"/>
        </w:rPr>
      </w:pPr>
      <w:bookmarkStart w:id="11" w:name="_Toc285613948"/>
      <w:bookmarkEnd w:id="11"/>
      <w:r>
        <w:rPr>
          <w:rFonts w:ascii="Arial" w:hAnsi="Arial"/>
          <w:sz w:val="16"/>
          <w:szCs w:val="16"/>
        </w:rPr>
        <w:t>Measurement Monitoring and Reporting Systems</w:t>
      </w:r>
    </w:p>
    <w:p>
      <w:pPr>
        <w:pStyle w:val="Normal"/>
        <w:spacing w:lineRule="auto" w:line="360"/>
        <w:rPr>
          <w:rFonts w:cs="Arial" w:ascii="Arial" w:hAnsi="Arial"/>
          <w:sz w:val="16"/>
          <w:szCs w:val="16"/>
        </w:rPr>
      </w:pPr>
      <w:r>
        <w:rPr>
          <w:rFonts w:cs="Arial" w:ascii="Arial" w:hAnsi="Arial"/>
          <w:sz w:val="16"/>
          <w:szCs w:val="16"/>
        </w:rPr>
        <w:t xml:space="preserve">Incorporated in reporting to senior management and to the board of directors will be the following reports, either in summary form or in detail depending on the audience: </w:t>
      </w:r>
    </w:p>
    <w:p>
      <w:pPr>
        <w:pStyle w:val="ListParagraph"/>
        <w:numPr>
          <w:ilvl w:val="0"/>
          <w:numId w:val="5"/>
        </w:numPr>
        <w:spacing w:lineRule="auto" w:line="360"/>
        <w:rPr>
          <w:rFonts w:eastAsia="Times New Roman" w:cs="Arial" w:ascii="Arial" w:hAnsi="Arial"/>
          <w:bCs/>
          <w:sz w:val="16"/>
          <w:szCs w:val="16"/>
        </w:rPr>
      </w:pPr>
      <w:r>
        <w:rPr>
          <w:rFonts w:eastAsia="Times New Roman" w:cs="Arial" w:ascii="Arial" w:hAnsi="Arial"/>
          <w:b/>
          <w:bCs/>
          <w:sz w:val="16"/>
          <w:szCs w:val="16"/>
        </w:rPr>
        <w:t>Liquidity Gap Report</w:t>
      </w:r>
      <w:r>
        <w:rPr>
          <w:rFonts w:eastAsia="Times New Roman" w:cs="Arial" w:ascii="Arial" w:hAnsi="Arial"/>
          <w:bCs/>
          <w:sz w:val="16"/>
          <w:szCs w:val="16"/>
        </w:rPr>
        <w:t xml:space="preserve"> – This is a pro-forma cash flow statement based on the business strategy or liquidity strategy being considered. This cash flow statement will compare sources and uses of funds. The resulting funding gaps will be monitored and controlled by policies herein. One of the key outputs from this report will be the one-year cumulative liquidity gap/asset ratio. Liquidity gaps are calculated including highly liquid unencumbered marketable securities and unused borrowing capacity. The one-year cumulative liquidity gap/asset ratio will be controlled via policy limits. </w:t>
      </w:r>
    </w:p>
    <w:p>
      <w:pPr>
        <w:pStyle w:val="ListParagraph"/>
        <w:numPr>
          <w:ilvl w:val="0"/>
          <w:numId w:val="4"/>
        </w:numPr>
        <w:spacing w:lineRule="auto" w:line="360"/>
        <w:rPr>
          <w:rFonts w:eastAsia="Times New Roman" w:cs="Arial" w:ascii="Arial" w:hAnsi="Arial"/>
          <w:bCs/>
          <w:sz w:val="16"/>
          <w:szCs w:val="16"/>
        </w:rPr>
      </w:pPr>
      <w:r>
        <w:rPr>
          <w:rFonts w:eastAsia="Times New Roman" w:cs="Arial" w:ascii="Arial" w:hAnsi="Arial"/>
          <w:b/>
          <w:bCs/>
          <w:sz w:val="16"/>
          <w:szCs w:val="16"/>
        </w:rPr>
        <w:t>The effect of adverse liquidity stress event scenarios</w:t>
      </w:r>
      <w:r>
        <w:rPr>
          <w:rFonts w:eastAsia="Times New Roman" w:cs="Arial" w:ascii="Arial" w:hAnsi="Arial"/>
          <w:bCs/>
          <w:sz w:val="16"/>
          <w:szCs w:val="16"/>
        </w:rPr>
        <w:t>, specifically on the Liquidity Gap ratios using stress assumptions and methodology prescribed in the Interagency Guidance on Liquidity and Funds Management issued in March, 2010.</w:t>
      </w:r>
    </w:p>
    <w:p>
      <w:pPr>
        <w:pStyle w:val="ListParagraph"/>
        <w:numPr>
          <w:ilvl w:val="0"/>
          <w:numId w:val="5"/>
        </w:numPr>
        <w:spacing w:lineRule="auto" w:line="360"/>
        <w:rPr>
          <w:rFonts w:cs="Arial" w:ascii="Arial" w:hAnsi="Arial"/>
          <w:sz w:val="16"/>
          <w:szCs w:val="16"/>
        </w:rPr>
      </w:pPr>
      <w:r>
        <w:rPr>
          <w:rFonts w:eastAsia="Times New Roman" w:cs="Arial" w:ascii="Arial" w:hAnsi="Arial"/>
          <w:b/>
          <w:bCs/>
          <w:sz w:val="16"/>
          <w:szCs w:val="16"/>
        </w:rPr>
        <w:t>Assessment of bank’s need for highly liquid, unencumbered, marketable securities (HLUMS)</w:t>
      </w:r>
      <w:r>
        <w:rPr>
          <w:rFonts w:eastAsia="Times New Roman" w:cs="Arial" w:ascii="Arial" w:hAnsi="Arial"/>
          <w:bCs/>
          <w:sz w:val="16"/>
          <w:szCs w:val="16"/>
        </w:rPr>
        <w:t xml:space="preserve"> through the Liquidity Coverage Ratio as specified in the Basel III International Framework for Liquidity Risk Measurement, Standards and Monitoring issued December 2010. T</w:t>
      </w:r>
      <w:r>
        <w:rPr>
          <w:rFonts w:cs="Arial" w:ascii="Arial" w:hAnsi="Arial"/>
          <w:sz w:val="16"/>
          <w:szCs w:val="16"/>
        </w:rPr>
        <w:t>his report serves as the evaluation tool to determine whether there is a sufficient level of highly liquid unencumbered marketable securities to cover cash outflows under a defined stress event occurring in a 30-day period. Actual coverage will be compared to a policy limit.</w:t>
      </w:r>
    </w:p>
    <w:p>
      <w:pPr>
        <w:pStyle w:val="ListParagraph"/>
        <w:numPr>
          <w:ilvl w:val="0"/>
          <w:numId w:val="5"/>
        </w:numPr>
        <w:spacing w:lineRule="auto" w:line="360"/>
        <w:rPr>
          <w:rFonts w:cs="Arial" w:ascii="Arial" w:hAnsi="Arial"/>
          <w:sz w:val="16"/>
          <w:szCs w:val="16"/>
        </w:rPr>
      </w:pPr>
      <w:r>
        <w:rPr>
          <w:rFonts w:cs="Arial" w:ascii="Arial" w:hAnsi="Arial"/>
          <w:b/>
          <w:sz w:val="16"/>
          <w:szCs w:val="16"/>
        </w:rPr>
        <w:t>Early Warning Indicators Report</w:t>
      </w:r>
      <w:r>
        <w:rPr>
          <w:rFonts w:cs="Arial" w:ascii="Arial" w:hAnsi="Arial"/>
          <w:sz w:val="16"/>
          <w:szCs w:val="16"/>
        </w:rPr>
        <w:t xml:space="preserve"> – this report will contain a list of early warning indicators with actions triggered at various levels. It will show actual results for the various event triggers described in this document.</w:t>
      </w:r>
    </w:p>
    <w:p>
      <w:pPr>
        <w:pStyle w:val="ListParagraph"/>
        <w:numPr>
          <w:ilvl w:val="0"/>
          <w:numId w:val="5"/>
        </w:numPr>
        <w:spacing w:lineRule="auto" w:line="360"/>
        <w:rPr>
          <w:rFonts w:eastAsia="Times New Roman" w:cs="Arial" w:ascii="Arial" w:hAnsi="Arial"/>
          <w:bCs/>
          <w:sz w:val="16"/>
          <w:szCs w:val="16"/>
        </w:rPr>
      </w:pPr>
      <w:r>
        <w:rPr>
          <w:rFonts w:eastAsia="Times New Roman" w:cs="Arial" w:ascii="Arial" w:hAnsi="Arial"/>
          <w:b/>
          <w:bCs/>
          <w:sz w:val="16"/>
          <w:szCs w:val="16"/>
        </w:rPr>
        <w:t>Available Unencumbered Assets Report</w:t>
      </w:r>
      <w:r>
        <w:rPr>
          <w:rFonts w:eastAsia="Times New Roman" w:cs="Arial" w:ascii="Arial" w:hAnsi="Arial"/>
          <w:bCs/>
          <w:sz w:val="16"/>
          <w:szCs w:val="16"/>
        </w:rPr>
        <w:t xml:space="preserve"> – This report will list the highly liquid unencumbered assets backing up the values used in the above reports. </w:t>
      </w:r>
    </w:p>
    <w:p>
      <w:pPr>
        <w:pStyle w:val="ListParagraph"/>
        <w:numPr>
          <w:ilvl w:val="0"/>
          <w:numId w:val="5"/>
        </w:numPr>
        <w:spacing w:lineRule="auto" w:line="360"/>
        <w:rPr>
          <w:rFonts w:cs="Arial" w:ascii="Arial" w:hAnsi="Arial"/>
          <w:sz w:val="16"/>
          <w:szCs w:val="16"/>
        </w:rPr>
      </w:pPr>
      <w:r>
        <w:rPr>
          <w:rFonts w:eastAsia="Times New Roman" w:cs="Arial" w:ascii="Arial" w:hAnsi="Arial"/>
          <w:b/>
          <w:bCs/>
          <w:sz w:val="16"/>
          <w:szCs w:val="16"/>
        </w:rPr>
        <w:t>Contingent Funding Source Statu</w:t>
      </w:r>
      <w:r>
        <w:rPr>
          <w:rFonts w:cs="Arial" w:ascii="Arial" w:hAnsi="Arial"/>
          <w:b/>
          <w:sz w:val="16"/>
          <w:szCs w:val="16"/>
        </w:rPr>
        <w:t>s</w:t>
      </w:r>
      <w:r>
        <w:rPr>
          <w:rFonts w:cs="Arial" w:ascii="Arial" w:hAnsi="Arial"/>
          <w:sz w:val="16"/>
          <w:szCs w:val="16"/>
        </w:rPr>
        <w:t xml:space="preserve"> – This report will list the contingent funding sources available, credit availability, actual usage relative to policy limits, and date of most recent test of the facility.</w:t>
      </w:r>
    </w:p>
    <w:p>
      <w:pPr>
        <w:pStyle w:val="ListParagraph"/>
        <w:numPr>
          <w:ilvl w:val="0"/>
          <w:numId w:val="5"/>
        </w:numPr>
        <w:spacing w:lineRule="auto" w:line="360"/>
        <w:rPr>
          <w:rFonts w:cs="Arial" w:ascii="Arial" w:hAnsi="Arial"/>
          <w:sz w:val="16"/>
          <w:szCs w:val="16"/>
        </w:rPr>
      </w:pPr>
      <w:r>
        <w:rPr>
          <w:rFonts w:eastAsia="Times New Roman" w:cs="Arial" w:ascii="Arial" w:hAnsi="Arial"/>
          <w:b/>
          <w:bCs/>
          <w:sz w:val="16"/>
          <w:szCs w:val="16"/>
        </w:rPr>
        <w:t xml:space="preserve">Trigger Threshold Report </w:t>
      </w:r>
      <w:r>
        <w:rPr>
          <w:rFonts w:cs="Arial" w:ascii="Arial" w:hAnsi="Arial"/>
          <w:sz w:val="16"/>
          <w:szCs w:val="16"/>
        </w:rPr>
        <w:t>– Report that reflects triggers to actual performance.</w:t>
      </w:r>
    </w:p>
    <w:p>
      <w:pPr>
        <w:pStyle w:val="ListParagraph"/>
        <w:numPr>
          <w:ilvl w:val="0"/>
          <w:numId w:val="5"/>
        </w:numPr>
        <w:spacing w:lineRule="auto" w:line="360"/>
        <w:rPr>
          <w:rFonts w:cs="Arial" w:ascii="Arial" w:hAnsi="Arial"/>
          <w:sz w:val="16"/>
          <w:szCs w:val="16"/>
        </w:rPr>
      </w:pPr>
      <w:r>
        <w:rPr>
          <w:rFonts w:eastAsia="Times New Roman" w:cs="Arial" w:ascii="Arial" w:hAnsi="Arial"/>
          <w:b/>
          <w:bCs/>
          <w:sz w:val="16"/>
          <w:szCs w:val="16"/>
        </w:rPr>
        <w:t xml:space="preserve">Comparison of Policy Limits to Actual Performance </w:t>
      </w:r>
      <w:r>
        <w:rPr>
          <w:rFonts w:cs="Arial" w:ascii="Arial" w:hAnsi="Arial"/>
          <w:sz w:val="16"/>
          <w:szCs w:val="16"/>
        </w:rPr>
        <w:t>– This report will compare policy limits to actual performance and provide explanation of any exceptions to the policy.</w:t>
      </w:r>
    </w:p>
    <w:p>
      <w:pPr>
        <w:pStyle w:val="Heading2"/>
        <w:spacing w:lineRule="auto" w:line="360"/>
        <w:rPr>
          <w:rFonts w:ascii="Arial" w:hAnsi="Arial"/>
          <w:sz w:val="16"/>
          <w:szCs w:val="16"/>
        </w:rPr>
      </w:pPr>
      <w:bookmarkStart w:id="12" w:name="_Toc285613949"/>
      <w:bookmarkEnd w:id="12"/>
      <w:r>
        <w:rPr>
          <w:rFonts w:ascii="Arial" w:hAnsi="Arial"/>
          <w:sz w:val="16"/>
          <w:szCs w:val="16"/>
        </w:rPr>
        <w:t>Quarterly Reporting on Liquidity Management</w:t>
      </w:r>
    </w:p>
    <w:p>
      <w:pPr>
        <w:pStyle w:val="Normal"/>
        <w:keepNext/>
        <w:spacing w:lineRule="auto" w:line="360"/>
        <w:rPr>
          <w:rFonts w:cs="Arial" w:ascii="Arial" w:hAnsi="Arial"/>
          <w:sz w:val="16"/>
          <w:szCs w:val="16"/>
        </w:rPr>
      </w:pPr>
      <w:r>
        <w:rPr>
          <w:rFonts w:cs="Arial" w:ascii="Arial" w:hAnsi="Arial"/>
          <w:sz w:val="16"/>
          <w:szCs w:val="16"/>
        </w:rPr>
        <w:t>On a quarterly basis, XYZ management will do the following:</w:t>
      </w:r>
    </w:p>
    <w:p>
      <w:pPr>
        <w:pStyle w:val="ListParagraph"/>
        <w:numPr>
          <w:ilvl w:val="0"/>
          <w:numId w:val="6"/>
        </w:numPr>
        <w:spacing w:lineRule="auto" w:line="360"/>
        <w:rPr>
          <w:rFonts w:cs="Arial" w:ascii="Arial" w:hAnsi="Arial"/>
          <w:sz w:val="16"/>
          <w:szCs w:val="16"/>
        </w:rPr>
      </w:pPr>
      <w:r>
        <w:rPr>
          <w:rFonts w:cs="Arial" w:ascii="Arial" w:hAnsi="Arial"/>
          <w:sz w:val="16"/>
          <w:szCs w:val="16"/>
        </w:rPr>
        <w:t>Calculate pledged securities to total securities</w:t>
      </w:r>
    </w:p>
    <w:p>
      <w:pPr>
        <w:pStyle w:val="ListParagraph"/>
        <w:numPr>
          <w:ilvl w:val="0"/>
          <w:numId w:val="6"/>
        </w:numPr>
        <w:spacing w:lineRule="auto" w:line="360"/>
        <w:rPr>
          <w:rFonts w:cs="Arial" w:ascii="Arial" w:hAnsi="Arial"/>
          <w:sz w:val="16"/>
          <w:szCs w:val="16"/>
        </w:rPr>
      </w:pPr>
      <w:r>
        <w:rPr>
          <w:rFonts w:cs="Arial" w:ascii="Arial" w:hAnsi="Arial"/>
          <w:sz w:val="16"/>
          <w:szCs w:val="16"/>
        </w:rPr>
        <w:t>Review market value of pledged securities</w:t>
      </w:r>
    </w:p>
    <w:p>
      <w:pPr>
        <w:pStyle w:val="ListParagraph"/>
        <w:numPr>
          <w:ilvl w:val="0"/>
          <w:numId w:val="6"/>
        </w:numPr>
        <w:spacing w:lineRule="auto" w:line="360"/>
        <w:rPr>
          <w:rFonts w:cs="Arial" w:ascii="Arial" w:hAnsi="Arial"/>
          <w:sz w:val="16"/>
          <w:szCs w:val="16"/>
        </w:rPr>
      </w:pPr>
      <w:r>
        <w:rPr>
          <w:rFonts w:cs="Arial" w:ascii="Arial" w:hAnsi="Arial"/>
          <w:sz w:val="16"/>
          <w:szCs w:val="16"/>
        </w:rPr>
        <w:t>Review the amount of collateral available to meet needs of liquidity stress events</w:t>
      </w:r>
    </w:p>
    <w:p>
      <w:pPr>
        <w:pStyle w:val="ListParagraph"/>
        <w:numPr>
          <w:ilvl w:val="0"/>
          <w:numId w:val="6"/>
        </w:numPr>
        <w:spacing w:lineRule="auto" w:line="360"/>
        <w:rPr>
          <w:rFonts w:cs="Arial" w:ascii="Arial" w:hAnsi="Arial"/>
          <w:sz w:val="16"/>
          <w:szCs w:val="16"/>
        </w:rPr>
      </w:pPr>
      <w:r>
        <w:rPr>
          <w:rFonts w:cs="Arial" w:ascii="Arial" w:hAnsi="Arial"/>
          <w:sz w:val="16"/>
          <w:szCs w:val="16"/>
        </w:rPr>
        <w:t xml:space="preserve">Review and test collateral pledging procedures to ensure collateral needs can be met on a timely basis </w:t>
      </w:r>
    </w:p>
    <w:p>
      <w:pPr>
        <w:pStyle w:val="Heading2"/>
        <w:spacing w:lineRule="auto" w:line="360"/>
        <w:rPr>
          <w:rFonts w:ascii="Arial" w:hAnsi="Arial"/>
          <w:sz w:val="16"/>
          <w:szCs w:val="16"/>
        </w:rPr>
      </w:pPr>
      <w:bookmarkStart w:id="13" w:name="_Toc285613950"/>
      <w:bookmarkEnd w:id="13"/>
      <w:r>
        <w:rPr>
          <w:rFonts w:ascii="Arial" w:hAnsi="Arial"/>
          <w:sz w:val="16"/>
          <w:szCs w:val="16"/>
        </w:rPr>
        <w:t>Intra-Day Liquidity Management</w:t>
      </w:r>
    </w:p>
    <w:p>
      <w:pPr>
        <w:pStyle w:val="Normal"/>
        <w:spacing w:lineRule="auto" w:line="360"/>
        <w:rPr>
          <w:rFonts w:cs="Arial" w:ascii="Arial" w:hAnsi="Arial"/>
          <w:sz w:val="16"/>
          <w:szCs w:val="16"/>
        </w:rPr>
      </w:pPr>
      <w:r>
        <w:rPr>
          <w:rFonts w:cs="Arial" w:ascii="Arial" w:hAnsi="Arial"/>
          <w:sz w:val="16"/>
          <w:szCs w:val="16"/>
        </w:rPr>
        <w:t>On a daily basis the CFO reviews XYZ’s cash position including:</w:t>
      </w:r>
    </w:p>
    <w:p>
      <w:pPr>
        <w:pStyle w:val="ListParagraph"/>
        <w:numPr>
          <w:ilvl w:val="0"/>
          <w:numId w:val="7"/>
        </w:numPr>
        <w:spacing w:lineRule="auto" w:line="360"/>
        <w:rPr>
          <w:rFonts w:cs="Arial" w:ascii="Arial" w:hAnsi="Arial"/>
          <w:sz w:val="16"/>
          <w:szCs w:val="16"/>
        </w:rPr>
      </w:pPr>
      <w:r>
        <w:rPr>
          <w:rFonts w:cs="Arial" w:ascii="Arial" w:hAnsi="Arial"/>
          <w:sz w:val="16"/>
          <w:szCs w:val="16"/>
        </w:rPr>
        <w:t>Cash letters</w:t>
      </w:r>
    </w:p>
    <w:p>
      <w:pPr>
        <w:pStyle w:val="ListParagraph"/>
        <w:numPr>
          <w:ilvl w:val="0"/>
          <w:numId w:val="7"/>
        </w:numPr>
        <w:spacing w:lineRule="auto" w:line="360"/>
        <w:rPr>
          <w:rFonts w:cs="Arial" w:ascii="Arial" w:hAnsi="Arial"/>
          <w:sz w:val="16"/>
          <w:szCs w:val="16"/>
        </w:rPr>
      </w:pPr>
      <w:r>
        <w:rPr>
          <w:rFonts w:cs="Arial" w:ascii="Arial" w:hAnsi="Arial"/>
          <w:sz w:val="16"/>
          <w:szCs w:val="16"/>
        </w:rPr>
        <w:t>ACH activity and clearings</w:t>
      </w:r>
    </w:p>
    <w:p>
      <w:pPr>
        <w:pStyle w:val="ListParagraph"/>
        <w:numPr>
          <w:ilvl w:val="0"/>
          <w:numId w:val="7"/>
        </w:numPr>
        <w:spacing w:lineRule="auto" w:line="360"/>
        <w:rPr>
          <w:rFonts w:cs="Arial" w:ascii="Arial" w:hAnsi="Arial"/>
          <w:sz w:val="16"/>
          <w:szCs w:val="16"/>
        </w:rPr>
      </w:pPr>
      <w:r>
        <w:rPr>
          <w:rFonts w:cs="Arial" w:ascii="Arial" w:hAnsi="Arial"/>
          <w:sz w:val="16"/>
          <w:szCs w:val="16"/>
        </w:rPr>
        <w:t>Wire transfers</w:t>
      </w:r>
    </w:p>
    <w:p>
      <w:pPr>
        <w:pStyle w:val="ListParagraph"/>
        <w:numPr>
          <w:ilvl w:val="0"/>
          <w:numId w:val="7"/>
        </w:numPr>
        <w:spacing w:lineRule="auto" w:line="360"/>
        <w:rPr>
          <w:rFonts w:cs="Arial" w:ascii="Arial" w:hAnsi="Arial"/>
          <w:sz w:val="16"/>
          <w:szCs w:val="16"/>
        </w:rPr>
      </w:pPr>
      <w:r>
        <w:rPr>
          <w:rFonts w:cs="Arial" w:ascii="Arial" w:hAnsi="Arial"/>
          <w:sz w:val="16"/>
          <w:szCs w:val="16"/>
        </w:rPr>
        <w:t>Securities transactions</w:t>
      </w:r>
    </w:p>
    <w:p>
      <w:pPr>
        <w:pStyle w:val="ListParagraph"/>
        <w:numPr>
          <w:ilvl w:val="0"/>
          <w:numId w:val="7"/>
        </w:numPr>
        <w:spacing w:lineRule="auto" w:line="360"/>
        <w:rPr>
          <w:rFonts w:cs="Arial" w:ascii="Arial" w:hAnsi="Arial"/>
          <w:sz w:val="16"/>
          <w:szCs w:val="16"/>
        </w:rPr>
      </w:pPr>
      <w:r>
        <w:rPr>
          <w:rFonts w:cs="Arial" w:ascii="Arial" w:hAnsi="Arial"/>
          <w:sz w:val="16"/>
          <w:szCs w:val="16"/>
        </w:rPr>
        <w:t>Other items affecting the bank’s cash position</w:t>
      </w:r>
    </w:p>
    <w:p>
      <w:pPr>
        <w:pStyle w:val="Normal"/>
        <w:spacing w:lineRule="auto" w:line="360"/>
        <w:rPr>
          <w:rFonts w:cs="Arial" w:ascii="Arial" w:hAnsi="Arial"/>
          <w:sz w:val="16"/>
          <w:szCs w:val="16"/>
        </w:rPr>
      </w:pPr>
      <w:r>
        <w:rPr>
          <w:rFonts w:cs="Arial" w:ascii="Arial" w:hAnsi="Arial"/>
          <w:sz w:val="16"/>
          <w:szCs w:val="16"/>
        </w:rPr>
        <w:t>Based on the analysis, overnight investments and overnight borrowings transactions are executed to maintain daily liquidity within tolerance levels set by XYZ management. Management reviews the daily overnight position on the balance sheet and investigates circumstances causing significant swings in the overnight position.</w:t>
      </w:r>
    </w:p>
    <w:p>
      <w:pPr>
        <w:pStyle w:val="Normal"/>
        <w:spacing w:lineRule="auto" w:line="360"/>
        <w:rPr>
          <w:rFonts w:cs="Arial" w:ascii="Arial" w:hAnsi="Arial"/>
          <w:sz w:val="16"/>
          <w:szCs w:val="16"/>
        </w:rPr>
      </w:pPr>
      <w:r>
        <w:rPr>
          <w:rFonts w:cs="Arial" w:ascii="Arial" w:hAnsi="Arial"/>
          <w:sz w:val="16"/>
          <w:szCs w:val="16"/>
        </w:rPr>
        <w:t xml:space="preserve">XYZ has relationships with multiple sources of overnight funding, some secured and some unsecured. Should policy limits or collateral limits with a single institution be reached, XYZ management will make use of its other sources of overnight funding. </w:t>
      </w:r>
    </w:p>
    <w:p>
      <w:pPr>
        <w:pStyle w:val="Heading2"/>
        <w:spacing w:lineRule="auto" w:line="360"/>
        <w:rPr>
          <w:rFonts w:ascii="Arial" w:hAnsi="Arial"/>
          <w:sz w:val="16"/>
          <w:szCs w:val="16"/>
        </w:rPr>
      </w:pPr>
      <w:bookmarkStart w:id="14" w:name="_Toc285613951"/>
      <w:bookmarkEnd w:id="14"/>
      <w:r>
        <w:rPr>
          <w:rFonts w:ascii="Arial" w:hAnsi="Arial"/>
          <w:sz w:val="16"/>
          <w:szCs w:val="16"/>
        </w:rPr>
        <w:t>Alignment with Budgeting and Risk Management Process</w:t>
      </w:r>
    </w:p>
    <w:p>
      <w:pPr>
        <w:pStyle w:val="Normal"/>
        <w:spacing w:lineRule="auto" w:line="360"/>
        <w:rPr>
          <w:rFonts w:cs="Arial" w:ascii="Arial" w:hAnsi="Arial"/>
          <w:sz w:val="16"/>
          <w:szCs w:val="16"/>
        </w:rPr>
      </w:pPr>
      <w:r>
        <w:rPr>
          <w:rFonts w:cs="Arial" w:ascii="Arial" w:hAnsi="Arial"/>
          <w:sz w:val="16"/>
          <w:szCs w:val="16"/>
        </w:rPr>
        <w:t xml:space="preserve">It is the intention of XYZ management to develop budgets and business plans and test those plans under a variety of rate environments to test interest rate risk and liquidity risk. Cash flow reports will be generated from these plans that measure sources and uses of funds. XYZ will project the Liquidity Coverage Ratio in conjunction with its business plan to assess the levels of short-term, asset-based liquidity available from plan actions. In addition, XYZ will monitor the one-year liquidity gap/asset ratio under business plan scenarios. </w:t>
      </w:r>
    </w:p>
    <w:p>
      <w:pPr>
        <w:pStyle w:val="Normal"/>
        <w:spacing w:lineRule="auto" w:line="360"/>
        <w:rPr>
          <w:rFonts w:cs="Arial" w:ascii="Arial" w:hAnsi="Arial"/>
          <w:sz w:val="16"/>
          <w:szCs w:val="16"/>
        </w:rPr>
      </w:pPr>
      <w:r>
        <w:rPr>
          <w:rFonts w:cs="Arial" w:ascii="Arial" w:hAnsi="Arial"/>
          <w:sz w:val="16"/>
          <w:szCs w:val="16"/>
        </w:rPr>
        <w:t>It is understood by XYZ’s Board and management that there are trade-offs between managing one risk that impact other risk areas. It is the ALCO’s duty to monitor and report the risk and return options associated in the current and alternative strategies available for managing related risk positions.</w:t>
      </w:r>
    </w:p>
    <w:p>
      <w:pPr>
        <w:pStyle w:val="Heading1"/>
        <w:spacing w:lineRule="auto" w:line="360"/>
        <w:rPr>
          <w:rFonts w:ascii="Arial" w:hAnsi="Arial"/>
          <w:sz w:val="16"/>
          <w:szCs w:val="16"/>
        </w:rPr>
      </w:pPr>
      <w:bookmarkStart w:id="15" w:name="_Toc285613952"/>
      <w:bookmarkEnd w:id="15"/>
      <w:r>
        <w:rPr>
          <w:rFonts w:ascii="Arial" w:hAnsi="Arial"/>
          <w:sz w:val="16"/>
          <w:szCs w:val="16"/>
        </w:rPr>
        <w:t>Policy Measurements and Limits</w:t>
      </w:r>
    </w:p>
    <w:p>
      <w:pPr>
        <w:pStyle w:val="Heading2"/>
        <w:spacing w:lineRule="auto" w:line="360"/>
        <w:rPr>
          <w:rFonts w:ascii="Arial" w:hAnsi="Arial"/>
          <w:sz w:val="16"/>
          <w:szCs w:val="16"/>
        </w:rPr>
      </w:pPr>
      <w:bookmarkStart w:id="16" w:name="_Toc285613953"/>
      <w:bookmarkEnd w:id="16"/>
      <w:r>
        <w:rPr>
          <w:rFonts w:ascii="Arial" w:hAnsi="Arial"/>
          <w:sz w:val="16"/>
          <w:szCs w:val="16"/>
        </w:rPr>
        <w:t>Primary Policy Limits</w:t>
      </w:r>
    </w:p>
    <w:p>
      <w:pPr>
        <w:pStyle w:val="Normal"/>
        <w:keepNext/>
        <w:spacing w:lineRule="auto" w:line="360"/>
        <w:rPr>
          <w:rFonts w:cs="Arial" w:ascii="Arial" w:hAnsi="Arial"/>
          <w:sz w:val="16"/>
          <w:szCs w:val="16"/>
        </w:rPr>
      </w:pPr>
      <w:r>
        <w:rPr>
          <w:rFonts w:cs="Arial" w:ascii="Arial" w:hAnsi="Arial"/>
          <w:sz w:val="16"/>
          <w:szCs w:val="16"/>
        </w:rPr>
        <w:t>In order to assess liquidity levels for XYZ’s needs we will use the following primary policy limits that set minimum liquidity buffers for both asset-based liquidity and total liquidity:</w:t>
      </w:r>
    </w:p>
    <w:p>
      <w:pPr>
        <w:pStyle w:val="ListParagraph"/>
        <w:keepNext/>
        <w:numPr>
          <w:ilvl w:val="0"/>
          <w:numId w:val="14"/>
        </w:numPr>
        <w:spacing w:lineRule="auto" w:line="360"/>
        <w:rPr>
          <w:rFonts w:cs="Arial" w:ascii="Arial" w:hAnsi="Arial"/>
          <w:sz w:val="16"/>
          <w:szCs w:val="16"/>
        </w:rPr>
      </w:pPr>
      <w:r>
        <w:rPr>
          <w:rFonts w:cs="Arial" w:ascii="Arial" w:hAnsi="Arial"/>
          <w:sz w:val="16"/>
          <w:szCs w:val="16"/>
        </w:rPr>
        <w:t>Liquidity Coverage Ratio</w:t>
      </w:r>
    </w:p>
    <w:p>
      <w:pPr>
        <w:pStyle w:val="ListParagraph"/>
        <w:keepNext/>
        <w:numPr>
          <w:ilvl w:val="0"/>
          <w:numId w:val="14"/>
        </w:numPr>
        <w:spacing w:lineRule="auto" w:line="360"/>
        <w:rPr>
          <w:rFonts w:cs="Arial" w:ascii="Arial" w:hAnsi="Arial"/>
          <w:sz w:val="16"/>
          <w:szCs w:val="16"/>
        </w:rPr>
      </w:pPr>
      <w:r>
        <w:rPr>
          <w:rFonts w:cs="Arial" w:ascii="Arial" w:hAnsi="Arial"/>
          <w:sz w:val="16"/>
          <w:szCs w:val="16"/>
        </w:rPr>
        <w:t>12-Month Cumulative Liquidity Gap Ratio</w:t>
      </w:r>
    </w:p>
    <w:p>
      <w:pPr>
        <w:pStyle w:val="ListParagraph"/>
        <w:numPr>
          <w:ilvl w:val="0"/>
          <w:numId w:val="14"/>
        </w:numPr>
        <w:spacing w:lineRule="auto" w:line="360"/>
        <w:rPr>
          <w:rFonts w:cs="Arial" w:ascii="Arial" w:hAnsi="Arial"/>
          <w:sz w:val="16"/>
          <w:szCs w:val="16"/>
        </w:rPr>
      </w:pPr>
      <w:r>
        <w:rPr>
          <w:rFonts w:cs="Arial" w:ascii="Arial" w:hAnsi="Arial"/>
          <w:sz w:val="16"/>
          <w:szCs w:val="16"/>
        </w:rPr>
        <w:t>Near-Core and Non-Core Funding/Total Assets</w:t>
      </w:r>
    </w:p>
    <w:p>
      <w:pPr>
        <w:pStyle w:val="Normal"/>
        <w:keepNext/>
        <w:spacing w:lineRule="auto" w:line="360" w:before="0" w:after="0"/>
        <w:rPr>
          <w:rStyle w:val="Heading3Char"/>
          <w:rFonts w:eastAsia="Calibri" w:ascii="Arial" w:hAnsi="Arial"/>
          <w:sz w:val="16"/>
          <w:szCs w:val="16"/>
        </w:rPr>
      </w:pPr>
      <w:bookmarkStart w:id="17" w:name="_Toc285613954"/>
      <w:bookmarkEnd w:id="17"/>
      <w:r>
        <w:rPr>
          <w:rStyle w:val="Heading3Char"/>
          <w:rFonts w:eastAsia="Calibri" w:ascii="Arial" w:hAnsi="Arial"/>
          <w:sz w:val="16"/>
          <w:szCs w:val="16"/>
        </w:rPr>
        <w:t>Liquidity Coverage Ratio</w:t>
      </w:r>
    </w:p>
    <w:p>
      <w:pPr>
        <w:pStyle w:val="Normal"/>
        <w:spacing w:lineRule="auto" w:line="360" w:before="0" w:after="0"/>
        <w:rPr>
          <w:rFonts w:cs="Arial" w:ascii="Arial" w:hAnsi="Arial"/>
          <w:sz w:val="16"/>
          <w:szCs w:val="16"/>
        </w:rPr>
      </w:pPr>
      <w:r>
        <w:rPr>
          <w:rFonts w:cs="Arial" w:ascii="Arial" w:hAnsi="Arial"/>
          <w:sz w:val="16"/>
          <w:szCs w:val="16"/>
        </w:rPr>
        <w:t xml:space="preserve">The LCR measures whether the institution has sufficient levels of highly liquid unencumbered marketable securities and expected cash flow to cover a short-term liquidity crisis event covering 30 days. XYZ performs this analysis incorporating all of the Basel III assumptions relating to issues like deposit runoffs and lack of access to wholesale funding. </w:t>
      </w:r>
    </w:p>
    <w:p>
      <w:pPr>
        <w:pStyle w:val="Normal"/>
        <w:keepNext/>
        <w:spacing w:lineRule="auto" w:line="360" w:before="0" w:after="0"/>
        <w:rPr>
          <w:rFonts w:cs="Arial" w:ascii="Arial" w:hAnsi="Arial"/>
          <w:sz w:val="16"/>
          <w:szCs w:val="16"/>
        </w:rPr>
      </w:pPr>
      <w:r>
        <w:rPr>
          <w:rFonts w:cs="Arial" w:ascii="Arial" w:hAnsi="Arial"/>
          <w:sz w:val="16"/>
          <w:szCs w:val="16"/>
        </w:rPr>
      </w:r>
    </w:p>
    <w:p>
      <w:pPr>
        <w:pStyle w:val="Normal"/>
        <w:keepNext/>
        <w:spacing w:lineRule="auto" w:line="360" w:before="0" w:after="0"/>
        <w:rPr>
          <w:rFonts w:cs="Arial" w:ascii="Arial" w:hAnsi="Arial"/>
          <w:sz w:val="16"/>
          <w:szCs w:val="16"/>
        </w:rPr>
      </w:pPr>
      <w:r>
        <w:rPr>
          <w:rFonts w:cs="Arial" w:ascii="Arial" w:hAnsi="Arial"/>
          <w:sz w:val="16"/>
          <w:szCs w:val="16"/>
        </w:rPr>
        <w:t>The following are XYZ’s Liquidity Coverage Ratio Policy Limits along with management actions that will be taken based on the level of this ratio.</w:t>
      </w:r>
    </w:p>
    <w:p>
      <w:pPr>
        <w:pStyle w:val="Normal"/>
        <w:keepNext/>
        <w:spacing w:lineRule="auto" w:line="360" w:before="0" w:after="0"/>
        <w:rPr>
          <w:rFonts w:cs="Arial" w:ascii="Arial" w:hAnsi="Arial"/>
          <w:sz w:val="16"/>
          <w:szCs w:val="16"/>
        </w:rPr>
      </w:pPr>
      <w:r>
        <w:rPr>
          <w:rFonts w:cs="Arial" w:ascii="Arial" w:hAnsi="Arial"/>
          <w:sz w:val="16"/>
          <w:szCs w:val="16"/>
        </w:rPr>
      </w:r>
    </w:p>
    <w:tbl>
      <w:tblPr>
        <w:jc w:val="left"/>
        <w:tblInd w:w="0" w:type="dxa"/>
        <w:tblBorders>
          <w:top w:val="single" w:sz="8" w:space="0" w:color="000001"/>
          <w:left w:val="single" w:sz="8" w:space="0" w:color="000001"/>
          <w:bottom w:val="single" w:sz="8" w:space="0" w:color="000001"/>
          <w:insideH w:val="single" w:sz="8" w:space="0" w:color="000001"/>
          <w:right w:val="single" w:sz="8" w:space="0" w:color="000001"/>
          <w:insideV w:val="single" w:sz="8" w:space="0" w:color="000001"/>
        </w:tblBorders>
        <w:tblCellMar>
          <w:top w:w="0" w:type="dxa"/>
          <w:left w:w="107" w:type="dxa"/>
          <w:bottom w:w="0" w:type="dxa"/>
          <w:right w:w="108" w:type="dxa"/>
        </w:tblCellMar>
      </w:tblPr>
      <w:tblGrid>
        <w:gridCol w:w="3115"/>
        <w:gridCol w:w="1379"/>
        <w:gridCol w:w="4851"/>
      </w:tblGrid>
      <w:tr>
        <w:trPr>
          <w:trHeight w:val="332" w:hRule="atLeast"/>
          <w:cantSplit w:val="false"/>
        </w:trPr>
        <w:tc>
          <w:tcPr>
            <w:tcW w:w="3115" w:type="dxa"/>
            <w:tcBorders>
              <w:top w:val="single" w:sz="8" w:space="0" w:color="000001"/>
              <w:left w:val="single" w:sz="8" w:space="0" w:color="000001"/>
              <w:bottom w:val="single" w:sz="8" w:space="0" w:color="000001"/>
              <w:insideH w:val="single" w:sz="8" w:space="0" w:color="000001"/>
              <w:right w:val="single" w:sz="8" w:space="0" w:color="000001"/>
              <w:insideV w:val="single" w:sz="8" w:space="0" w:color="000001"/>
            </w:tcBorders>
            <w:shd w:fill="FFFFFF" w:val="clear"/>
            <w:tcMar>
              <w:left w:w="107" w:type="dxa"/>
            </w:tcMar>
            <w:vAlign w:val="center"/>
          </w:tcPr>
          <w:p>
            <w:pPr>
              <w:pStyle w:val="Normal"/>
              <w:keepNext/>
              <w:spacing w:lineRule="auto" w:line="360" w:before="120" w:after="200"/>
              <w:jc w:val="center"/>
              <w:rPr>
                <w:rFonts w:cs="Arial" w:ascii="Arial" w:hAnsi="Arial"/>
                <w:b/>
                <w:sz w:val="16"/>
                <w:szCs w:val="16"/>
              </w:rPr>
            </w:pPr>
            <w:r>
              <w:rPr>
                <w:rFonts w:cs="Arial" w:ascii="Arial" w:hAnsi="Arial"/>
                <w:b/>
                <w:sz w:val="16"/>
                <w:szCs w:val="16"/>
              </w:rPr>
              <w:t>LCR</w:t>
            </w:r>
          </w:p>
        </w:tc>
        <w:tc>
          <w:tcPr>
            <w:tcW w:w="1379" w:type="dxa"/>
            <w:tcBorders>
              <w:top w:val="single" w:sz="8" w:space="0" w:color="000001"/>
              <w:left w:val="single" w:sz="8" w:space="0" w:color="000001"/>
              <w:bottom w:val="single" w:sz="8" w:space="0" w:color="000001"/>
              <w:insideH w:val="single" w:sz="8" w:space="0" w:color="000001"/>
              <w:right w:val="single" w:sz="8" w:space="0" w:color="000001"/>
              <w:insideV w:val="single" w:sz="8" w:space="0" w:color="000001"/>
            </w:tcBorders>
            <w:shd w:fill="FFFFFF" w:val="clear"/>
            <w:tcMar>
              <w:left w:w="107" w:type="dxa"/>
            </w:tcMar>
            <w:vAlign w:val="center"/>
          </w:tcPr>
          <w:p>
            <w:pPr>
              <w:pStyle w:val="Normal"/>
              <w:keepNext/>
              <w:spacing w:lineRule="auto" w:line="360" w:before="120" w:after="200"/>
              <w:jc w:val="center"/>
              <w:rPr>
                <w:rFonts w:cs="Arial" w:ascii="Arial" w:hAnsi="Arial"/>
                <w:b/>
                <w:sz w:val="16"/>
                <w:szCs w:val="16"/>
              </w:rPr>
            </w:pPr>
            <w:r>
              <w:rPr>
                <w:rFonts w:cs="Arial" w:ascii="Arial" w:hAnsi="Arial"/>
                <w:b/>
                <w:sz w:val="16"/>
                <w:szCs w:val="16"/>
              </w:rPr>
              <w:t>Level</w:t>
            </w:r>
          </w:p>
        </w:tc>
        <w:tc>
          <w:tcPr>
            <w:tcW w:w="4851" w:type="dxa"/>
            <w:tcBorders>
              <w:top w:val="single" w:sz="8" w:space="0" w:color="000001"/>
              <w:left w:val="single" w:sz="8" w:space="0" w:color="000001"/>
              <w:bottom w:val="single" w:sz="8" w:space="0" w:color="000001"/>
              <w:insideH w:val="single" w:sz="8" w:space="0" w:color="000001"/>
              <w:right w:val="single" w:sz="8" w:space="0" w:color="000001"/>
              <w:insideV w:val="single" w:sz="8" w:space="0" w:color="000001"/>
            </w:tcBorders>
            <w:shd w:fill="FFFFFF" w:val="clear"/>
            <w:tcMar>
              <w:left w:w="107" w:type="dxa"/>
            </w:tcMar>
            <w:vAlign w:val="center"/>
          </w:tcPr>
          <w:p>
            <w:pPr>
              <w:pStyle w:val="Normal"/>
              <w:keepNext/>
              <w:spacing w:lineRule="auto" w:line="360" w:before="120" w:after="200"/>
              <w:jc w:val="center"/>
              <w:rPr>
                <w:rFonts w:cs="Arial" w:ascii="Arial" w:hAnsi="Arial"/>
                <w:b/>
                <w:sz w:val="16"/>
                <w:szCs w:val="16"/>
              </w:rPr>
            </w:pPr>
            <w:r>
              <w:rPr>
                <w:rFonts w:cs="Arial" w:ascii="Arial" w:hAnsi="Arial"/>
                <w:b/>
                <w:sz w:val="16"/>
                <w:szCs w:val="16"/>
              </w:rPr>
              <w:t>Required Actions</w:t>
            </w:r>
          </w:p>
        </w:tc>
      </w:tr>
      <w:tr>
        <w:trPr>
          <w:trHeight w:val="350" w:hRule="atLeast"/>
          <w:cantSplit w:val="false"/>
        </w:trPr>
        <w:tc>
          <w:tcPr>
            <w:tcW w:w="3115" w:type="dxa"/>
            <w:tcBorders>
              <w:top w:val="single" w:sz="8" w:space="0" w:color="000001"/>
              <w:left w:val="single" w:sz="8" w:space="0" w:color="000001"/>
              <w:bottom w:val="single" w:sz="8" w:space="0" w:color="000001"/>
              <w:insideH w:val="single" w:sz="8" w:space="0" w:color="000001"/>
              <w:right w:val="single" w:sz="8" w:space="0" w:color="000001"/>
              <w:insideV w:val="single" w:sz="8" w:space="0" w:color="000001"/>
            </w:tcBorders>
            <w:shd w:fill="FFFFFF" w:val="clear"/>
            <w:tcMar>
              <w:left w:w="107" w:type="dxa"/>
            </w:tcMar>
            <w:vAlign w:val="center"/>
          </w:tcPr>
          <w:p>
            <w:pPr>
              <w:pStyle w:val="Normal"/>
              <w:keepNext/>
              <w:spacing w:lineRule="auto" w:line="360" w:before="120" w:after="200"/>
              <w:jc w:val="center"/>
              <w:rPr>
                <w:rFonts w:cs="Arial" w:ascii="Arial" w:hAnsi="Arial"/>
                <w:sz w:val="16"/>
                <w:szCs w:val="16"/>
              </w:rPr>
            </w:pPr>
            <w:r>
              <w:rPr>
                <w:rFonts w:cs="Arial" w:ascii="Arial" w:hAnsi="Arial"/>
                <w:sz w:val="16"/>
                <w:szCs w:val="16"/>
              </w:rPr>
              <w:t>&gt; 105%</w:t>
            </w:r>
          </w:p>
        </w:tc>
        <w:tc>
          <w:tcPr>
            <w:tcW w:w="1379" w:type="dxa"/>
            <w:tcBorders>
              <w:top w:val="single" w:sz="8" w:space="0" w:color="000001"/>
              <w:left w:val="single" w:sz="8" w:space="0" w:color="000001"/>
              <w:bottom w:val="single" w:sz="8" w:space="0" w:color="000001"/>
              <w:insideH w:val="single" w:sz="8" w:space="0" w:color="000001"/>
              <w:right w:val="single" w:sz="8" w:space="0" w:color="000001"/>
              <w:insideV w:val="single" w:sz="8" w:space="0" w:color="000001"/>
            </w:tcBorders>
            <w:shd w:fill="5AA080" w:val="clear"/>
            <w:tcMar>
              <w:left w:w="107" w:type="dxa"/>
            </w:tcMar>
            <w:vAlign w:val="center"/>
          </w:tcPr>
          <w:p>
            <w:pPr>
              <w:pStyle w:val="Normal"/>
              <w:keepNext/>
              <w:spacing w:lineRule="auto" w:line="360" w:before="120" w:after="200"/>
              <w:jc w:val="center"/>
              <w:rPr>
                <w:rFonts w:cs="Arial" w:ascii="Arial" w:hAnsi="Arial"/>
                <w:color w:val="FFFFFF"/>
                <w:sz w:val="16"/>
                <w:szCs w:val="16"/>
              </w:rPr>
            </w:pPr>
            <w:r>
              <w:rPr>
                <w:rFonts w:cs="Arial" w:ascii="Arial" w:hAnsi="Arial"/>
                <w:color w:val="FFFFFF"/>
                <w:sz w:val="16"/>
                <w:szCs w:val="16"/>
              </w:rPr>
              <w:t>Green Light</w:t>
            </w:r>
          </w:p>
        </w:tc>
        <w:tc>
          <w:tcPr>
            <w:tcW w:w="4851" w:type="dxa"/>
            <w:tcBorders>
              <w:top w:val="single" w:sz="8" w:space="0" w:color="000001"/>
              <w:left w:val="single" w:sz="8" w:space="0" w:color="000001"/>
              <w:bottom w:val="single" w:sz="8" w:space="0" w:color="000001"/>
              <w:insideH w:val="single" w:sz="8" w:space="0" w:color="000001"/>
              <w:right w:val="single" w:sz="8" w:space="0" w:color="000001"/>
              <w:insideV w:val="single" w:sz="8" w:space="0" w:color="000001"/>
            </w:tcBorders>
            <w:shd w:fill="FFFFFF" w:val="clear"/>
            <w:tcMar>
              <w:left w:w="107" w:type="dxa"/>
            </w:tcMar>
            <w:vAlign w:val="center"/>
          </w:tcPr>
          <w:p>
            <w:pPr>
              <w:pStyle w:val="Normal"/>
              <w:keepNext/>
              <w:spacing w:lineRule="auto" w:line="360" w:before="120" w:after="200"/>
              <w:rPr>
                <w:rFonts w:cs="Arial" w:ascii="Arial" w:hAnsi="Arial"/>
                <w:sz w:val="16"/>
                <w:szCs w:val="16"/>
              </w:rPr>
            </w:pPr>
            <w:r>
              <w:rPr>
                <w:rFonts w:cs="Arial" w:ascii="Arial" w:hAnsi="Arial"/>
                <w:sz w:val="16"/>
                <w:szCs w:val="16"/>
              </w:rPr>
              <w:t>No change required.</w:t>
            </w:r>
          </w:p>
        </w:tc>
      </w:tr>
      <w:tr>
        <w:trPr>
          <w:trHeight w:val="800" w:hRule="atLeast"/>
          <w:cantSplit w:val="false"/>
        </w:trPr>
        <w:tc>
          <w:tcPr>
            <w:tcW w:w="3115" w:type="dxa"/>
            <w:tcBorders>
              <w:top w:val="single" w:sz="8" w:space="0" w:color="000001"/>
              <w:left w:val="single" w:sz="8" w:space="0" w:color="000001"/>
              <w:bottom w:val="single" w:sz="8" w:space="0" w:color="000001"/>
              <w:insideH w:val="single" w:sz="8" w:space="0" w:color="000001"/>
              <w:right w:val="single" w:sz="8" w:space="0" w:color="000001"/>
              <w:insideV w:val="single" w:sz="8" w:space="0" w:color="000001"/>
            </w:tcBorders>
            <w:shd w:fill="FFFFFF" w:val="clear"/>
            <w:tcMar>
              <w:left w:w="107" w:type="dxa"/>
            </w:tcMar>
            <w:vAlign w:val="center"/>
          </w:tcPr>
          <w:p>
            <w:pPr>
              <w:pStyle w:val="Normal"/>
              <w:keepNext/>
              <w:spacing w:lineRule="auto" w:line="360" w:before="120" w:after="200"/>
              <w:jc w:val="center"/>
              <w:rPr>
                <w:rFonts w:cs="Arial" w:ascii="Arial" w:hAnsi="Arial"/>
                <w:sz w:val="16"/>
                <w:szCs w:val="16"/>
              </w:rPr>
            </w:pPr>
            <w:r>
              <w:rPr>
                <w:rFonts w:cs="Arial" w:ascii="Arial" w:hAnsi="Arial"/>
                <w:sz w:val="16"/>
                <w:szCs w:val="16"/>
              </w:rPr>
              <w:t>100-105%</w:t>
            </w:r>
          </w:p>
        </w:tc>
        <w:tc>
          <w:tcPr>
            <w:tcW w:w="1379" w:type="dxa"/>
            <w:tcBorders>
              <w:top w:val="single" w:sz="8" w:space="0" w:color="000001"/>
              <w:left w:val="single" w:sz="8" w:space="0" w:color="000001"/>
              <w:bottom w:val="single" w:sz="8" w:space="0" w:color="000001"/>
              <w:insideH w:val="single" w:sz="8" w:space="0" w:color="000001"/>
              <w:right w:val="single" w:sz="8" w:space="0" w:color="000001"/>
              <w:insideV w:val="single" w:sz="8" w:space="0" w:color="000001"/>
            </w:tcBorders>
            <w:shd w:fill="E9D55D" w:val="clear"/>
            <w:tcMar>
              <w:left w:w="107" w:type="dxa"/>
            </w:tcMar>
            <w:vAlign w:val="center"/>
          </w:tcPr>
          <w:p>
            <w:pPr>
              <w:pStyle w:val="Normal"/>
              <w:keepNext/>
              <w:spacing w:lineRule="auto" w:line="360" w:before="120" w:after="200"/>
              <w:jc w:val="center"/>
              <w:rPr>
                <w:rFonts w:cs="Arial" w:ascii="Arial" w:hAnsi="Arial"/>
                <w:sz w:val="16"/>
                <w:szCs w:val="16"/>
              </w:rPr>
            </w:pPr>
            <w:r>
              <w:rPr>
                <w:rFonts w:cs="Arial" w:ascii="Arial" w:hAnsi="Arial"/>
                <w:sz w:val="16"/>
                <w:szCs w:val="16"/>
              </w:rPr>
              <w:t>Yellow Light</w:t>
            </w:r>
          </w:p>
        </w:tc>
        <w:tc>
          <w:tcPr>
            <w:tcW w:w="4851" w:type="dxa"/>
            <w:tcBorders>
              <w:top w:val="single" w:sz="8" w:space="0" w:color="000001"/>
              <w:left w:val="single" w:sz="8" w:space="0" w:color="000001"/>
              <w:bottom w:val="single" w:sz="8" w:space="0" w:color="000001"/>
              <w:insideH w:val="single" w:sz="8" w:space="0" w:color="000001"/>
              <w:right w:val="single" w:sz="8" w:space="0" w:color="000001"/>
              <w:insideV w:val="single" w:sz="8" w:space="0" w:color="000001"/>
            </w:tcBorders>
            <w:shd w:fill="FFFFFF" w:val="clear"/>
            <w:tcMar>
              <w:left w:w="107" w:type="dxa"/>
            </w:tcMar>
            <w:vAlign w:val="center"/>
          </w:tcPr>
          <w:p>
            <w:pPr>
              <w:pStyle w:val="Normal"/>
              <w:keepNext/>
              <w:spacing w:lineRule="auto" w:line="360" w:before="120" w:after="200"/>
              <w:rPr>
                <w:rFonts w:cs="Arial" w:ascii="Arial" w:hAnsi="Arial"/>
                <w:sz w:val="16"/>
                <w:szCs w:val="16"/>
              </w:rPr>
            </w:pPr>
            <w:r>
              <w:rPr>
                <w:rFonts w:cs="Arial" w:ascii="Arial" w:hAnsi="Arial"/>
                <w:sz w:val="16"/>
                <w:szCs w:val="16"/>
              </w:rPr>
              <w:t>Demonstrate in the business plan the return to more stable levels in the coming 6 months, monitor and report quarterly on plan to actual.</w:t>
            </w:r>
          </w:p>
        </w:tc>
      </w:tr>
      <w:tr>
        <w:trPr>
          <w:trHeight w:val="800" w:hRule="atLeast"/>
          <w:cantSplit w:val="false"/>
        </w:trPr>
        <w:tc>
          <w:tcPr>
            <w:tcW w:w="3115" w:type="dxa"/>
            <w:tcBorders>
              <w:top w:val="single" w:sz="8" w:space="0" w:color="000001"/>
              <w:left w:val="single" w:sz="8" w:space="0" w:color="000001"/>
              <w:bottom w:val="single" w:sz="8" w:space="0" w:color="000001"/>
              <w:insideH w:val="single" w:sz="8" w:space="0" w:color="000001"/>
              <w:right w:val="single" w:sz="8" w:space="0" w:color="000001"/>
              <w:insideV w:val="single" w:sz="8" w:space="0" w:color="000001"/>
            </w:tcBorders>
            <w:shd w:fill="FFFFFF" w:val="clear"/>
            <w:tcMar>
              <w:left w:w="107" w:type="dxa"/>
            </w:tcMar>
            <w:vAlign w:val="center"/>
          </w:tcPr>
          <w:p>
            <w:pPr>
              <w:pStyle w:val="Normal"/>
              <w:spacing w:lineRule="auto" w:line="360" w:before="120" w:after="200"/>
              <w:jc w:val="center"/>
              <w:rPr>
                <w:rFonts w:cs="Arial" w:ascii="Arial" w:hAnsi="Arial"/>
                <w:sz w:val="16"/>
                <w:szCs w:val="16"/>
              </w:rPr>
            </w:pPr>
            <w:r>
              <w:rPr>
                <w:rFonts w:cs="Arial" w:ascii="Arial" w:hAnsi="Arial"/>
                <w:sz w:val="16"/>
                <w:szCs w:val="16"/>
              </w:rPr>
              <w:t>&lt; 100%</w:t>
            </w:r>
          </w:p>
        </w:tc>
        <w:tc>
          <w:tcPr>
            <w:tcW w:w="1379" w:type="dxa"/>
            <w:tcBorders>
              <w:top w:val="single" w:sz="8" w:space="0" w:color="000001"/>
              <w:left w:val="single" w:sz="8" w:space="0" w:color="000001"/>
              <w:bottom w:val="single" w:sz="8" w:space="0" w:color="000001"/>
              <w:insideH w:val="single" w:sz="8" w:space="0" w:color="000001"/>
              <w:right w:val="single" w:sz="8" w:space="0" w:color="000001"/>
              <w:insideV w:val="single" w:sz="8" w:space="0" w:color="000001"/>
            </w:tcBorders>
            <w:shd w:fill="AA0606" w:val="clear"/>
            <w:tcMar>
              <w:left w:w="107" w:type="dxa"/>
            </w:tcMar>
            <w:vAlign w:val="center"/>
          </w:tcPr>
          <w:p>
            <w:pPr>
              <w:pStyle w:val="Normal"/>
              <w:spacing w:lineRule="auto" w:line="360" w:before="120" w:after="200"/>
              <w:jc w:val="center"/>
              <w:rPr>
                <w:rFonts w:cs="Arial" w:ascii="Arial" w:hAnsi="Arial"/>
                <w:sz w:val="16"/>
                <w:szCs w:val="16"/>
                <w:shd w:fill="AA0606" w:val="clear"/>
              </w:rPr>
            </w:pPr>
            <w:r>
              <w:rPr>
                <w:rFonts w:cs="Arial" w:ascii="Arial" w:hAnsi="Arial"/>
                <w:sz w:val="16"/>
                <w:szCs w:val="16"/>
              </w:rPr>
              <w:t xml:space="preserve">Red </w:t>
            </w:r>
            <w:r>
              <w:rPr>
                <w:rFonts w:cs="Arial" w:ascii="Arial" w:hAnsi="Arial"/>
                <w:sz w:val="16"/>
                <w:szCs w:val="16"/>
                <w:shd w:fill="AA0606" w:val="clear"/>
              </w:rPr>
              <w:t>Light</w:t>
            </w:r>
          </w:p>
        </w:tc>
        <w:tc>
          <w:tcPr>
            <w:tcW w:w="4851" w:type="dxa"/>
            <w:tcBorders>
              <w:top w:val="single" w:sz="8" w:space="0" w:color="000001"/>
              <w:left w:val="single" w:sz="8" w:space="0" w:color="000001"/>
              <w:bottom w:val="single" w:sz="8" w:space="0" w:color="000001"/>
              <w:insideH w:val="single" w:sz="8" w:space="0" w:color="000001"/>
              <w:right w:val="single" w:sz="8" w:space="0" w:color="000001"/>
              <w:insideV w:val="single" w:sz="8" w:space="0" w:color="000001"/>
            </w:tcBorders>
            <w:shd w:fill="FFFFFF" w:val="clear"/>
            <w:tcMar>
              <w:left w:w="107" w:type="dxa"/>
            </w:tcMar>
            <w:vAlign w:val="center"/>
          </w:tcPr>
          <w:p>
            <w:pPr>
              <w:pStyle w:val="Normal"/>
              <w:spacing w:lineRule="auto" w:line="360" w:before="120" w:after="200"/>
              <w:rPr>
                <w:rFonts w:cs="Arial" w:ascii="Arial" w:hAnsi="Arial"/>
                <w:sz w:val="16"/>
                <w:szCs w:val="16"/>
              </w:rPr>
            </w:pPr>
            <w:r>
              <w:rPr>
                <w:rFonts w:cs="Arial" w:ascii="Arial" w:hAnsi="Arial"/>
                <w:sz w:val="16"/>
                <w:szCs w:val="16"/>
              </w:rPr>
              <w:t>Immediate actions taken to return to yellow levels within 3 months and green within 9 months. Reporting to be communicated monthly until yellow level achieved.</w:t>
            </w:r>
          </w:p>
        </w:tc>
      </w:tr>
    </w:tbl>
    <w:p>
      <w:pPr>
        <w:pStyle w:val="Normal"/>
        <w:spacing w:lineRule="auto" w:line="360" w:before="0" w:after="0"/>
        <w:rPr>
          <w:rFonts w:cs="Arial" w:ascii="Arial" w:hAnsi="Arial"/>
          <w:sz w:val="16"/>
          <w:szCs w:val="16"/>
        </w:rPr>
      </w:pPr>
      <w:r>
        <w:rPr>
          <w:rFonts w:cs="Arial" w:ascii="Arial" w:hAnsi="Arial"/>
          <w:sz w:val="16"/>
          <w:szCs w:val="16"/>
        </w:rPr>
      </w:r>
    </w:p>
    <w:p>
      <w:pPr>
        <w:pStyle w:val="Heading3"/>
        <w:spacing w:lineRule="auto" w:line="360"/>
        <w:rPr>
          <w:rFonts w:ascii="Arial" w:hAnsi="Arial"/>
          <w:sz w:val="16"/>
          <w:szCs w:val="16"/>
        </w:rPr>
      </w:pPr>
      <w:bookmarkStart w:id="18" w:name="_Toc285613955"/>
      <w:bookmarkEnd w:id="18"/>
      <w:r>
        <w:rPr>
          <w:rFonts w:ascii="Arial" w:hAnsi="Arial"/>
          <w:sz w:val="16"/>
          <w:szCs w:val="16"/>
        </w:rPr>
        <w:t>Twelve-Month Cumulative Liquidity Gap Ratio</w:t>
      </w:r>
    </w:p>
    <w:p>
      <w:pPr>
        <w:pStyle w:val="Normal"/>
        <w:keepNext/>
        <w:spacing w:lineRule="auto" w:line="360" w:before="0" w:after="0"/>
        <w:rPr>
          <w:rFonts w:cs="Arial" w:ascii="Arial" w:hAnsi="Arial"/>
          <w:sz w:val="16"/>
          <w:szCs w:val="16"/>
        </w:rPr>
      </w:pPr>
      <w:r>
        <w:rPr>
          <w:rFonts w:cs="Arial" w:ascii="Arial" w:hAnsi="Arial"/>
          <w:sz w:val="16"/>
          <w:szCs w:val="16"/>
        </w:rPr>
        <w:t>This measure will be calculated for XYZ’s business plan in the most likely rate environment used for interest rate risk analysis and business planning. Sources of funding will be the sum of incoming cash flows from the business plan, unused borrowing capacity, and highly liquid unencumbered marketable securities. Uses of funding will be the sum of all outgoing cash flows. The twelve-month liquidity gap ratio will be the difference between sources and uses over a twelve-month cumulative period. The following policy limits are used in evaluating XYZ liquidity over one year for its base business plan strategy. Stress tests will be applied to these cash flows as part of the XYZ Contingency Funding Plan and these policy limits used in a modified manner as stated in the Contingency Funding Plan.</w:t>
      </w:r>
    </w:p>
    <w:p>
      <w:pPr>
        <w:pStyle w:val="Normal"/>
        <w:keepNext/>
        <w:spacing w:lineRule="auto" w:line="360" w:before="0" w:after="0"/>
        <w:rPr>
          <w:rFonts w:cs="Arial" w:ascii="Arial" w:hAnsi="Arial"/>
          <w:sz w:val="16"/>
          <w:szCs w:val="16"/>
        </w:rPr>
      </w:pPr>
      <w:r>
        <w:rPr>
          <w:rFonts w:cs="Arial" w:ascii="Arial" w:hAnsi="Arial"/>
          <w:sz w:val="16"/>
          <w:szCs w:val="16"/>
        </w:rPr>
      </w:r>
    </w:p>
    <w:tbl>
      <w:tblPr>
        <w:jc w:val="left"/>
        <w:tblInd w:w="0" w:type="dxa"/>
        <w:tblBorders>
          <w:top w:val="single" w:sz="8" w:space="0" w:color="000001"/>
          <w:left w:val="single" w:sz="8" w:space="0" w:color="000001"/>
          <w:bottom w:val="single" w:sz="8" w:space="0" w:color="000001"/>
          <w:insideH w:val="single" w:sz="8" w:space="0" w:color="000001"/>
          <w:right w:val="single" w:sz="8" w:space="0" w:color="000001"/>
          <w:insideV w:val="single" w:sz="8" w:space="0" w:color="000001"/>
        </w:tblBorders>
        <w:tblCellMar>
          <w:top w:w="0" w:type="dxa"/>
          <w:left w:w="107" w:type="dxa"/>
          <w:bottom w:w="0" w:type="dxa"/>
          <w:right w:w="108" w:type="dxa"/>
        </w:tblCellMar>
      </w:tblPr>
      <w:tblGrid>
        <w:gridCol w:w="2267"/>
        <w:gridCol w:w="4117"/>
        <w:gridCol w:w="3192"/>
      </w:tblGrid>
      <w:tr>
        <w:trPr>
          <w:trHeight w:val="647" w:hRule="atLeast"/>
          <w:cantSplit w:val="false"/>
        </w:trPr>
        <w:tc>
          <w:tcPr>
            <w:tcW w:w="2267" w:type="dxa"/>
            <w:tcBorders>
              <w:top w:val="single" w:sz="8" w:space="0" w:color="000001"/>
              <w:left w:val="single" w:sz="8" w:space="0" w:color="000001"/>
              <w:bottom w:val="single" w:sz="8" w:space="0" w:color="000001"/>
              <w:insideH w:val="single" w:sz="8" w:space="0" w:color="000001"/>
              <w:right w:val="single" w:sz="8" w:space="0" w:color="000001"/>
              <w:insideV w:val="single" w:sz="8" w:space="0" w:color="000001"/>
            </w:tcBorders>
            <w:shd w:fill="auto" w:val="clear"/>
            <w:tcMar>
              <w:left w:w="107" w:type="dxa"/>
            </w:tcMar>
            <w:vAlign w:val="center"/>
          </w:tcPr>
          <w:p>
            <w:pPr>
              <w:pStyle w:val="Normal"/>
              <w:keepNext/>
              <w:spacing w:lineRule="auto" w:line="360" w:before="120" w:after="200"/>
              <w:jc w:val="center"/>
              <w:rPr>
                <w:rFonts w:cs="Arial" w:ascii="Arial" w:hAnsi="Arial"/>
                <w:b/>
                <w:sz w:val="16"/>
                <w:szCs w:val="16"/>
              </w:rPr>
            </w:pPr>
            <w:r>
              <w:rPr>
                <w:rFonts w:cs="Arial" w:ascii="Arial" w:hAnsi="Arial"/>
                <w:b/>
                <w:sz w:val="16"/>
                <w:szCs w:val="16"/>
              </w:rPr>
              <w:t>12-Month Liquidity Gap/Asset Ratio</w:t>
            </w:r>
          </w:p>
        </w:tc>
        <w:tc>
          <w:tcPr>
            <w:tcW w:w="4117" w:type="dxa"/>
            <w:tcBorders>
              <w:top w:val="single" w:sz="8" w:space="0" w:color="000001"/>
              <w:left w:val="single" w:sz="8" w:space="0" w:color="000001"/>
              <w:bottom w:val="single" w:sz="8" w:space="0" w:color="000001"/>
              <w:insideH w:val="single" w:sz="8" w:space="0" w:color="000001"/>
              <w:right w:val="single" w:sz="8" w:space="0" w:color="000001"/>
              <w:insideV w:val="single" w:sz="8" w:space="0" w:color="000001"/>
            </w:tcBorders>
            <w:shd w:fill="auto" w:val="clear"/>
            <w:tcMar>
              <w:left w:w="107" w:type="dxa"/>
            </w:tcMar>
            <w:vAlign w:val="center"/>
          </w:tcPr>
          <w:p>
            <w:pPr>
              <w:pStyle w:val="Normal"/>
              <w:keepNext/>
              <w:spacing w:lineRule="auto" w:line="360" w:before="120" w:after="200"/>
              <w:jc w:val="center"/>
              <w:rPr>
                <w:rFonts w:cs="Arial" w:ascii="Arial" w:hAnsi="Arial"/>
                <w:b/>
                <w:sz w:val="16"/>
                <w:szCs w:val="16"/>
              </w:rPr>
            </w:pPr>
            <w:r>
              <w:rPr>
                <w:rFonts w:cs="Arial" w:ascii="Arial" w:hAnsi="Arial"/>
                <w:b/>
                <w:sz w:val="16"/>
                <w:szCs w:val="16"/>
              </w:rPr>
              <w:t>Threat Level</w:t>
            </w:r>
          </w:p>
        </w:tc>
        <w:tc>
          <w:tcPr>
            <w:tcW w:w="3192" w:type="dxa"/>
            <w:tcBorders>
              <w:top w:val="single" w:sz="8" w:space="0" w:color="000001"/>
              <w:left w:val="single" w:sz="8" w:space="0" w:color="000001"/>
              <w:bottom w:val="single" w:sz="8" w:space="0" w:color="000001"/>
              <w:insideH w:val="single" w:sz="8" w:space="0" w:color="000001"/>
              <w:right w:val="single" w:sz="8" w:space="0" w:color="000001"/>
              <w:insideV w:val="single" w:sz="8" w:space="0" w:color="000001"/>
            </w:tcBorders>
            <w:shd w:fill="auto" w:val="clear"/>
            <w:tcMar>
              <w:left w:w="107" w:type="dxa"/>
            </w:tcMar>
            <w:vAlign w:val="center"/>
          </w:tcPr>
          <w:p>
            <w:pPr>
              <w:pStyle w:val="Normal"/>
              <w:keepNext/>
              <w:spacing w:lineRule="auto" w:line="360" w:before="120" w:after="200"/>
              <w:jc w:val="center"/>
              <w:rPr>
                <w:rFonts w:cs="Arial" w:ascii="Arial" w:hAnsi="Arial"/>
                <w:b/>
                <w:sz w:val="16"/>
                <w:szCs w:val="16"/>
              </w:rPr>
            </w:pPr>
            <w:r>
              <w:rPr>
                <w:rFonts w:cs="Arial" w:ascii="Arial" w:hAnsi="Arial"/>
                <w:b/>
                <w:sz w:val="16"/>
                <w:szCs w:val="16"/>
              </w:rPr>
              <w:t>Actions</w:t>
            </w:r>
          </w:p>
        </w:tc>
      </w:tr>
      <w:tr>
        <w:trPr>
          <w:trHeight w:val="548" w:hRule="atLeast"/>
          <w:cantSplit w:val="false"/>
        </w:trPr>
        <w:tc>
          <w:tcPr>
            <w:tcW w:w="2267" w:type="dxa"/>
            <w:tcBorders>
              <w:top w:val="single" w:sz="8" w:space="0" w:color="000001"/>
              <w:left w:val="single" w:sz="8" w:space="0" w:color="000001"/>
              <w:bottom w:val="single" w:sz="8" w:space="0" w:color="000001"/>
              <w:insideH w:val="single" w:sz="8" w:space="0" w:color="000001"/>
              <w:right w:val="single" w:sz="8" w:space="0" w:color="000001"/>
              <w:insideV w:val="single" w:sz="8" w:space="0" w:color="000001"/>
            </w:tcBorders>
            <w:shd w:fill="auto" w:val="clear"/>
            <w:tcMar>
              <w:left w:w="107" w:type="dxa"/>
            </w:tcMar>
            <w:vAlign w:val="center"/>
          </w:tcPr>
          <w:p>
            <w:pPr>
              <w:pStyle w:val="Normal"/>
              <w:keepNext/>
              <w:spacing w:lineRule="auto" w:line="360" w:before="120" w:after="200"/>
              <w:jc w:val="center"/>
              <w:rPr>
                <w:rFonts w:cs="Arial" w:ascii="Arial" w:hAnsi="Arial"/>
                <w:sz w:val="16"/>
                <w:szCs w:val="16"/>
              </w:rPr>
            </w:pPr>
            <w:r>
              <w:rPr>
                <w:rFonts w:cs="Arial" w:ascii="Arial" w:hAnsi="Arial"/>
                <w:sz w:val="16"/>
                <w:szCs w:val="16"/>
              </w:rPr>
              <w:t>&gt; 15%</w:t>
            </w:r>
          </w:p>
        </w:tc>
        <w:tc>
          <w:tcPr>
            <w:tcW w:w="4117" w:type="dxa"/>
            <w:tcBorders>
              <w:top w:val="single" w:sz="8" w:space="0" w:color="000001"/>
              <w:left w:val="single" w:sz="8" w:space="0" w:color="000001"/>
              <w:bottom w:val="single" w:sz="8" w:space="0" w:color="000001"/>
              <w:insideH w:val="single" w:sz="8" w:space="0" w:color="000001"/>
              <w:right w:val="single" w:sz="8" w:space="0" w:color="000001"/>
              <w:insideV w:val="single" w:sz="8" w:space="0" w:color="000001"/>
            </w:tcBorders>
            <w:shd w:fill="5AA080" w:val="clear"/>
            <w:tcMar>
              <w:left w:w="107" w:type="dxa"/>
            </w:tcMar>
            <w:vAlign w:val="center"/>
          </w:tcPr>
          <w:p>
            <w:pPr>
              <w:pStyle w:val="Normal"/>
              <w:keepNext/>
              <w:spacing w:lineRule="auto" w:line="360" w:before="120" w:after="200"/>
              <w:jc w:val="center"/>
              <w:rPr>
                <w:rFonts w:cs="Arial" w:ascii="Arial" w:hAnsi="Arial"/>
                <w:color w:val="FFFFFF"/>
                <w:sz w:val="16"/>
                <w:szCs w:val="16"/>
              </w:rPr>
            </w:pPr>
            <w:r>
              <w:rPr>
                <w:rFonts w:cs="Arial" w:ascii="Arial" w:hAnsi="Arial"/>
                <w:color w:val="FFFFFF"/>
                <w:sz w:val="16"/>
                <w:szCs w:val="16"/>
              </w:rPr>
              <w:t>Green Light</w:t>
            </w:r>
          </w:p>
        </w:tc>
        <w:tc>
          <w:tcPr>
            <w:tcW w:w="3192" w:type="dxa"/>
            <w:tcBorders>
              <w:top w:val="single" w:sz="8" w:space="0" w:color="000001"/>
              <w:left w:val="single" w:sz="8" w:space="0" w:color="000001"/>
              <w:bottom w:val="single" w:sz="8" w:space="0" w:color="000001"/>
              <w:insideH w:val="single" w:sz="8" w:space="0" w:color="000001"/>
              <w:right w:val="single" w:sz="8" w:space="0" w:color="000001"/>
              <w:insideV w:val="single" w:sz="8" w:space="0" w:color="000001"/>
            </w:tcBorders>
            <w:shd w:fill="auto" w:val="clear"/>
            <w:tcMar>
              <w:left w:w="107" w:type="dxa"/>
            </w:tcMar>
            <w:vAlign w:val="center"/>
          </w:tcPr>
          <w:p>
            <w:pPr>
              <w:pStyle w:val="Normal"/>
              <w:keepNext/>
              <w:spacing w:lineRule="auto" w:line="360" w:before="120" w:after="200"/>
              <w:rPr>
                <w:rFonts w:cs="Arial" w:ascii="Arial" w:hAnsi="Arial"/>
                <w:sz w:val="16"/>
                <w:szCs w:val="16"/>
              </w:rPr>
            </w:pPr>
            <w:r>
              <w:rPr>
                <w:rFonts w:cs="Arial" w:ascii="Arial" w:hAnsi="Arial"/>
                <w:sz w:val="16"/>
                <w:szCs w:val="16"/>
              </w:rPr>
              <w:t>No actions required; continue normal monitoring and reporting.</w:t>
            </w:r>
          </w:p>
        </w:tc>
      </w:tr>
      <w:tr>
        <w:trPr>
          <w:trHeight w:val="782" w:hRule="atLeast"/>
          <w:cantSplit w:val="false"/>
        </w:trPr>
        <w:tc>
          <w:tcPr>
            <w:tcW w:w="2267" w:type="dxa"/>
            <w:tcBorders>
              <w:top w:val="single" w:sz="8" w:space="0" w:color="000001"/>
              <w:left w:val="single" w:sz="8" w:space="0" w:color="000001"/>
              <w:bottom w:val="single" w:sz="8" w:space="0" w:color="000001"/>
              <w:insideH w:val="single" w:sz="8" w:space="0" w:color="000001"/>
              <w:right w:val="single" w:sz="8" w:space="0" w:color="000001"/>
              <w:insideV w:val="single" w:sz="8" w:space="0" w:color="000001"/>
            </w:tcBorders>
            <w:shd w:fill="auto" w:val="clear"/>
            <w:tcMar>
              <w:left w:w="107" w:type="dxa"/>
            </w:tcMar>
            <w:vAlign w:val="center"/>
          </w:tcPr>
          <w:p>
            <w:pPr>
              <w:pStyle w:val="Normal"/>
              <w:keepNext/>
              <w:spacing w:lineRule="auto" w:line="360" w:before="120" w:after="200"/>
              <w:jc w:val="center"/>
              <w:rPr>
                <w:rFonts w:cs="Arial" w:ascii="Arial" w:hAnsi="Arial"/>
                <w:sz w:val="16"/>
                <w:szCs w:val="16"/>
              </w:rPr>
            </w:pPr>
            <w:r>
              <w:rPr>
                <w:rFonts w:cs="Arial" w:ascii="Arial" w:hAnsi="Arial"/>
                <w:sz w:val="16"/>
                <w:szCs w:val="16"/>
              </w:rPr>
              <w:t>10% - 15%</w:t>
            </w:r>
          </w:p>
        </w:tc>
        <w:tc>
          <w:tcPr>
            <w:tcW w:w="4117" w:type="dxa"/>
            <w:tcBorders>
              <w:top w:val="single" w:sz="8" w:space="0" w:color="000001"/>
              <w:left w:val="single" w:sz="8" w:space="0" w:color="000001"/>
              <w:bottom w:val="single" w:sz="8" w:space="0" w:color="000001"/>
              <w:insideH w:val="single" w:sz="8" w:space="0" w:color="000001"/>
              <w:right w:val="single" w:sz="8" w:space="0" w:color="000001"/>
              <w:insideV w:val="single" w:sz="8" w:space="0" w:color="000001"/>
            </w:tcBorders>
            <w:shd w:fill="E9D55D" w:val="clear"/>
            <w:tcMar>
              <w:left w:w="107" w:type="dxa"/>
            </w:tcMar>
            <w:vAlign w:val="center"/>
          </w:tcPr>
          <w:p>
            <w:pPr>
              <w:pStyle w:val="Normal"/>
              <w:keepNext/>
              <w:spacing w:lineRule="auto" w:line="360" w:before="120" w:after="200"/>
              <w:jc w:val="center"/>
              <w:rPr>
                <w:rFonts w:cs="Arial" w:ascii="Arial" w:hAnsi="Arial"/>
                <w:sz w:val="16"/>
                <w:szCs w:val="16"/>
              </w:rPr>
            </w:pPr>
            <w:r>
              <w:rPr>
                <w:rFonts w:cs="Arial" w:ascii="Arial" w:hAnsi="Arial"/>
                <w:sz w:val="16"/>
                <w:szCs w:val="16"/>
              </w:rPr>
              <w:t>Yellow Light</w:t>
            </w:r>
          </w:p>
        </w:tc>
        <w:tc>
          <w:tcPr>
            <w:tcW w:w="3192" w:type="dxa"/>
            <w:tcBorders>
              <w:top w:val="single" w:sz="8" w:space="0" w:color="000001"/>
              <w:left w:val="single" w:sz="8" w:space="0" w:color="000001"/>
              <w:bottom w:val="single" w:sz="8" w:space="0" w:color="000001"/>
              <w:insideH w:val="single" w:sz="8" w:space="0" w:color="000001"/>
              <w:right w:val="single" w:sz="8" w:space="0" w:color="000001"/>
              <w:insideV w:val="single" w:sz="8" w:space="0" w:color="000001"/>
            </w:tcBorders>
            <w:shd w:fill="auto" w:val="clear"/>
            <w:tcMar>
              <w:left w:w="107" w:type="dxa"/>
            </w:tcMar>
            <w:vAlign w:val="center"/>
          </w:tcPr>
          <w:p>
            <w:pPr>
              <w:pStyle w:val="Normal"/>
              <w:keepNext/>
              <w:spacing w:lineRule="auto" w:line="360" w:before="120" w:after="200"/>
              <w:rPr>
                <w:rFonts w:cs="Arial" w:ascii="Arial" w:hAnsi="Arial"/>
                <w:sz w:val="16"/>
                <w:szCs w:val="16"/>
              </w:rPr>
            </w:pPr>
            <w:r>
              <w:rPr>
                <w:rFonts w:cs="Arial" w:ascii="Arial" w:hAnsi="Arial"/>
                <w:sz w:val="16"/>
                <w:szCs w:val="16"/>
              </w:rPr>
              <w:t>Develop options for asset or liability changes in plan to return to green within 6 months.</w:t>
            </w:r>
          </w:p>
        </w:tc>
      </w:tr>
      <w:tr>
        <w:trPr>
          <w:trHeight w:val="1178" w:hRule="atLeast"/>
          <w:cantSplit w:val="false"/>
        </w:trPr>
        <w:tc>
          <w:tcPr>
            <w:tcW w:w="2267" w:type="dxa"/>
            <w:tcBorders>
              <w:top w:val="single" w:sz="8" w:space="0" w:color="000001"/>
              <w:left w:val="single" w:sz="8" w:space="0" w:color="000001"/>
              <w:bottom w:val="single" w:sz="8" w:space="0" w:color="000001"/>
              <w:insideH w:val="single" w:sz="8" w:space="0" w:color="000001"/>
              <w:right w:val="single" w:sz="8" w:space="0" w:color="000001"/>
              <w:insideV w:val="single" w:sz="8" w:space="0" w:color="000001"/>
            </w:tcBorders>
            <w:shd w:fill="auto" w:val="clear"/>
            <w:tcMar>
              <w:left w:w="107" w:type="dxa"/>
            </w:tcMar>
            <w:vAlign w:val="center"/>
          </w:tcPr>
          <w:p>
            <w:pPr>
              <w:pStyle w:val="Normal"/>
              <w:keepNext/>
              <w:spacing w:lineRule="auto" w:line="360" w:before="120" w:after="200"/>
              <w:jc w:val="center"/>
              <w:rPr>
                <w:rFonts w:cs="Arial" w:ascii="Arial" w:hAnsi="Arial"/>
                <w:sz w:val="16"/>
                <w:szCs w:val="16"/>
              </w:rPr>
            </w:pPr>
            <w:r>
              <w:rPr>
                <w:rFonts w:cs="Arial" w:ascii="Arial" w:hAnsi="Arial"/>
                <w:sz w:val="16"/>
                <w:szCs w:val="16"/>
              </w:rPr>
              <w:t>&lt; 10%</w:t>
            </w:r>
          </w:p>
        </w:tc>
        <w:tc>
          <w:tcPr>
            <w:tcW w:w="4117" w:type="dxa"/>
            <w:tcBorders>
              <w:top w:val="single" w:sz="8" w:space="0" w:color="000001"/>
              <w:left w:val="single" w:sz="8" w:space="0" w:color="000001"/>
              <w:bottom w:val="single" w:sz="8" w:space="0" w:color="000001"/>
              <w:insideH w:val="single" w:sz="8" w:space="0" w:color="000001"/>
              <w:right w:val="single" w:sz="8" w:space="0" w:color="000001"/>
              <w:insideV w:val="single" w:sz="8" w:space="0" w:color="000001"/>
            </w:tcBorders>
            <w:shd w:fill="AA0606" w:val="clear"/>
            <w:tcMar>
              <w:left w:w="107" w:type="dxa"/>
            </w:tcMar>
            <w:vAlign w:val="center"/>
          </w:tcPr>
          <w:p>
            <w:pPr>
              <w:pStyle w:val="Normal"/>
              <w:keepNext/>
              <w:spacing w:lineRule="auto" w:line="360" w:before="120" w:after="200"/>
              <w:jc w:val="center"/>
              <w:rPr>
                <w:rFonts w:cs="Arial" w:ascii="Arial" w:hAnsi="Arial"/>
                <w:sz w:val="16"/>
                <w:szCs w:val="16"/>
              </w:rPr>
            </w:pPr>
            <w:r>
              <w:rPr>
                <w:rFonts w:cs="Arial" w:ascii="Arial" w:hAnsi="Arial"/>
                <w:sz w:val="16"/>
                <w:szCs w:val="16"/>
              </w:rPr>
              <w:t>Red Light</w:t>
            </w:r>
          </w:p>
        </w:tc>
        <w:tc>
          <w:tcPr>
            <w:tcW w:w="3192" w:type="dxa"/>
            <w:tcBorders>
              <w:top w:val="single" w:sz="8" w:space="0" w:color="000001"/>
              <w:left w:val="single" w:sz="8" w:space="0" w:color="000001"/>
              <w:bottom w:val="single" w:sz="8" w:space="0" w:color="000001"/>
              <w:insideH w:val="single" w:sz="8" w:space="0" w:color="000001"/>
              <w:right w:val="single" w:sz="8" w:space="0" w:color="000001"/>
              <w:insideV w:val="single" w:sz="8" w:space="0" w:color="000001"/>
            </w:tcBorders>
            <w:shd w:fill="auto" w:val="clear"/>
            <w:tcMar>
              <w:left w:w="107" w:type="dxa"/>
            </w:tcMar>
            <w:vAlign w:val="center"/>
          </w:tcPr>
          <w:p>
            <w:pPr>
              <w:pStyle w:val="Normal"/>
              <w:keepNext/>
              <w:spacing w:lineRule="auto" w:line="360" w:before="120" w:after="200"/>
              <w:rPr>
                <w:rFonts w:cs="Arial" w:ascii="Arial" w:hAnsi="Arial"/>
                <w:sz w:val="16"/>
                <w:szCs w:val="16"/>
              </w:rPr>
            </w:pPr>
            <w:r>
              <w:rPr>
                <w:rFonts w:cs="Arial" w:ascii="Arial" w:hAnsi="Arial"/>
                <w:sz w:val="16"/>
                <w:szCs w:val="16"/>
              </w:rPr>
              <w:t>Immediate plan changes should be implemented and impact of Contingency Funding Plan assessed for realistic stress events. Monitor monthly until return to yellow.</w:t>
            </w:r>
          </w:p>
        </w:tc>
      </w:tr>
    </w:tbl>
    <w:p>
      <w:pPr>
        <w:pStyle w:val="Normal"/>
        <w:spacing w:lineRule="auto" w:line="360" w:before="0" w:after="0"/>
        <w:rPr>
          <w:rFonts w:cs="Arial" w:ascii="Arial" w:hAnsi="Arial"/>
          <w:sz w:val="16"/>
          <w:szCs w:val="16"/>
        </w:rPr>
      </w:pPr>
      <w:r>
        <w:rPr>
          <w:rFonts w:cs="Arial" w:ascii="Arial" w:hAnsi="Arial"/>
          <w:sz w:val="16"/>
          <w:szCs w:val="16"/>
        </w:rPr>
      </w:r>
    </w:p>
    <w:p>
      <w:pPr>
        <w:pStyle w:val="Heading3"/>
        <w:spacing w:lineRule="auto" w:line="360"/>
        <w:rPr>
          <w:rFonts w:ascii="Arial" w:hAnsi="Arial"/>
          <w:sz w:val="16"/>
          <w:szCs w:val="16"/>
        </w:rPr>
      </w:pPr>
      <w:bookmarkStart w:id="19" w:name="_Toc285613956"/>
      <w:r>
        <w:rPr>
          <w:rFonts w:ascii="Arial" w:hAnsi="Arial"/>
          <w:sz w:val="16"/>
          <w:szCs w:val="16"/>
        </w:rPr>
        <w:t>Near-Core Plus Non-Core Funding/Total Assets</w:t>
      </w:r>
      <w:bookmarkEnd w:id="19"/>
      <w:r>
        <w:rPr>
          <w:rFonts w:ascii="Arial" w:hAnsi="Arial"/>
          <w:sz w:val="16"/>
          <w:szCs w:val="16"/>
        </w:rPr>
        <w:t xml:space="preserve"> </w:t>
      </w:r>
    </w:p>
    <w:p>
      <w:pPr>
        <w:pStyle w:val="Normal"/>
        <w:spacing w:lineRule="auto" w:line="360"/>
        <w:rPr>
          <w:rFonts w:cs="Arial" w:ascii="Arial" w:hAnsi="Arial"/>
          <w:sz w:val="16"/>
          <w:szCs w:val="16"/>
        </w:rPr>
      </w:pPr>
      <w:r>
        <w:rPr>
          <w:rFonts w:cs="Arial" w:ascii="Arial" w:hAnsi="Arial"/>
          <w:sz w:val="16"/>
          <w:szCs w:val="16"/>
        </w:rPr>
        <w:t>It is the bank’s position that the total of Near-Core and Non-Core Funding sources (brokered CDs, CD’s &gt;250k, borrowed funds, CDARS and other such sources) be limited to no more than 40% of total assets. It is our belief that these sources of Near-Core and Non-Core funding serve two purposes:</w:t>
      </w:r>
    </w:p>
    <w:p>
      <w:pPr>
        <w:pStyle w:val="ListParagraph"/>
        <w:numPr>
          <w:ilvl w:val="0"/>
          <w:numId w:val="13"/>
        </w:numPr>
        <w:spacing w:lineRule="auto" w:line="360"/>
        <w:rPr>
          <w:rFonts w:cs="Arial" w:ascii="Arial" w:hAnsi="Arial"/>
          <w:sz w:val="16"/>
          <w:szCs w:val="16"/>
        </w:rPr>
      </w:pPr>
      <w:r>
        <w:rPr>
          <w:rFonts w:cs="Arial" w:ascii="Arial" w:hAnsi="Arial"/>
          <w:sz w:val="16"/>
          <w:szCs w:val="16"/>
        </w:rPr>
        <w:t>Provide funding sources to meet contingent needs under stress events specified in the contingency funding plan</w:t>
      </w:r>
    </w:p>
    <w:p>
      <w:pPr>
        <w:pStyle w:val="ListParagraph"/>
        <w:numPr>
          <w:ilvl w:val="0"/>
          <w:numId w:val="13"/>
        </w:numPr>
        <w:spacing w:lineRule="auto" w:line="360"/>
        <w:rPr>
          <w:rFonts w:cs="Arial" w:ascii="Arial" w:hAnsi="Arial"/>
          <w:sz w:val="16"/>
          <w:szCs w:val="16"/>
        </w:rPr>
      </w:pPr>
      <w:r>
        <w:rPr>
          <w:rFonts w:cs="Arial" w:ascii="Arial" w:hAnsi="Arial"/>
          <w:sz w:val="16"/>
          <w:szCs w:val="16"/>
        </w:rPr>
        <w:t>As structural tools for balance sheet management when Near-Core and Non-Core Funding is substantially cheaper than Core Funding or when funding structures available from Near-Core and Non-Core sources allow XYZ to adequately meet interest rate risk management needs created by the structure of the XYZ balance sheet</w:t>
      </w:r>
    </w:p>
    <w:p>
      <w:pPr>
        <w:pStyle w:val="Normal"/>
        <w:keepNext/>
        <w:spacing w:lineRule="auto" w:line="360"/>
        <w:rPr>
          <w:rFonts w:cs="Arial" w:ascii="Arial" w:hAnsi="Arial"/>
          <w:sz w:val="16"/>
          <w:szCs w:val="16"/>
        </w:rPr>
      </w:pPr>
      <w:r>
        <w:rPr>
          <w:rFonts w:cs="Arial" w:ascii="Arial" w:hAnsi="Arial"/>
          <w:sz w:val="16"/>
          <w:szCs w:val="16"/>
        </w:rPr>
        <w:t>In setting Near-Core and Non-Core Funding/Asset policy limits, it is XYZ’s goal to maintain sufficient excess Near-Core and Non-Core Funding availability beyond that needed for structural purposes so that XYZ can respond to stress events specified in its contingency funding plan without exceeding its policy limits.</w:t>
      </w:r>
    </w:p>
    <w:tbl>
      <w:tblPr>
        <w:jc w:val="left"/>
        <w:tblInd w:w="0" w:type="dxa"/>
        <w:tblBorders>
          <w:top w:val="single" w:sz="8" w:space="0" w:color="000001"/>
          <w:left w:val="single" w:sz="8" w:space="0" w:color="000001"/>
          <w:bottom w:val="single" w:sz="8" w:space="0" w:color="000001"/>
          <w:insideH w:val="single" w:sz="8" w:space="0" w:color="000001"/>
          <w:right w:val="single" w:sz="8" w:space="0" w:color="000001"/>
          <w:insideV w:val="single" w:sz="8" w:space="0" w:color="000001"/>
        </w:tblBorders>
        <w:tblCellMar>
          <w:top w:w="0" w:type="dxa"/>
          <w:left w:w="107" w:type="dxa"/>
          <w:bottom w:w="0" w:type="dxa"/>
          <w:right w:w="108" w:type="dxa"/>
        </w:tblCellMar>
      </w:tblPr>
      <w:tblGrid>
        <w:gridCol w:w="2267"/>
        <w:gridCol w:w="4117"/>
        <w:gridCol w:w="3192"/>
      </w:tblGrid>
      <w:tr>
        <w:trPr>
          <w:trHeight w:val="647" w:hRule="atLeast"/>
          <w:cantSplit w:val="false"/>
        </w:trPr>
        <w:tc>
          <w:tcPr>
            <w:tcW w:w="2267" w:type="dxa"/>
            <w:tcBorders>
              <w:top w:val="single" w:sz="8" w:space="0" w:color="000001"/>
              <w:left w:val="single" w:sz="8" w:space="0" w:color="000001"/>
              <w:bottom w:val="single" w:sz="8" w:space="0" w:color="000001"/>
              <w:insideH w:val="single" w:sz="8" w:space="0" w:color="000001"/>
              <w:right w:val="single" w:sz="8" w:space="0" w:color="000001"/>
              <w:insideV w:val="single" w:sz="8" w:space="0" w:color="000001"/>
            </w:tcBorders>
            <w:shd w:fill="auto" w:val="clear"/>
            <w:tcMar>
              <w:left w:w="107" w:type="dxa"/>
            </w:tcMar>
            <w:vAlign w:val="center"/>
          </w:tcPr>
          <w:p>
            <w:pPr>
              <w:pStyle w:val="Normal"/>
              <w:keepNext/>
              <w:spacing w:lineRule="auto" w:line="360" w:before="120" w:after="200"/>
              <w:jc w:val="center"/>
              <w:rPr>
                <w:rFonts w:cs="Arial" w:ascii="Arial" w:hAnsi="Arial"/>
                <w:b/>
                <w:sz w:val="16"/>
                <w:szCs w:val="16"/>
              </w:rPr>
            </w:pPr>
            <w:r>
              <w:rPr>
                <w:rFonts w:cs="Arial" w:ascii="Arial" w:hAnsi="Arial"/>
                <w:b/>
                <w:sz w:val="16"/>
                <w:szCs w:val="16"/>
              </w:rPr>
              <w:t>Near-Core &amp; Non-Core Funding/Total Assets</w:t>
            </w:r>
          </w:p>
        </w:tc>
        <w:tc>
          <w:tcPr>
            <w:tcW w:w="4117" w:type="dxa"/>
            <w:tcBorders>
              <w:top w:val="single" w:sz="8" w:space="0" w:color="000001"/>
              <w:left w:val="single" w:sz="8" w:space="0" w:color="000001"/>
              <w:bottom w:val="single" w:sz="8" w:space="0" w:color="000001"/>
              <w:insideH w:val="single" w:sz="8" w:space="0" w:color="000001"/>
              <w:right w:val="single" w:sz="8" w:space="0" w:color="000001"/>
              <w:insideV w:val="single" w:sz="8" w:space="0" w:color="000001"/>
            </w:tcBorders>
            <w:shd w:fill="auto" w:val="clear"/>
            <w:tcMar>
              <w:left w:w="107" w:type="dxa"/>
            </w:tcMar>
            <w:vAlign w:val="center"/>
          </w:tcPr>
          <w:p>
            <w:pPr>
              <w:pStyle w:val="Normal"/>
              <w:keepNext/>
              <w:spacing w:lineRule="auto" w:line="360" w:before="120" w:after="200"/>
              <w:jc w:val="center"/>
              <w:rPr>
                <w:rFonts w:cs="Arial" w:ascii="Arial" w:hAnsi="Arial"/>
                <w:b/>
                <w:sz w:val="16"/>
                <w:szCs w:val="16"/>
              </w:rPr>
            </w:pPr>
            <w:r>
              <w:rPr>
                <w:rFonts w:cs="Arial" w:ascii="Arial" w:hAnsi="Arial"/>
                <w:b/>
                <w:sz w:val="16"/>
                <w:szCs w:val="16"/>
              </w:rPr>
              <w:t>Threat Level</w:t>
            </w:r>
          </w:p>
        </w:tc>
        <w:tc>
          <w:tcPr>
            <w:tcW w:w="3192" w:type="dxa"/>
            <w:tcBorders>
              <w:top w:val="single" w:sz="8" w:space="0" w:color="000001"/>
              <w:left w:val="single" w:sz="8" w:space="0" w:color="000001"/>
              <w:bottom w:val="single" w:sz="8" w:space="0" w:color="000001"/>
              <w:insideH w:val="single" w:sz="8" w:space="0" w:color="000001"/>
              <w:right w:val="single" w:sz="8" w:space="0" w:color="000001"/>
              <w:insideV w:val="single" w:sz="8" w:space="0" w:color="000001"/>
            </w:tcBorders>
            <w:shd w:fill="auto" w:val="clear"/>
            <w:tcMar>
              <w:left w:w="107" w:type="dxa"/>
            </w:tcMar>
            <w:vAlign w:val="center"/>
          </w:tcPr>
          <w:p>
            <w:pPr>
              <w:pStyle w:val="Normal"/>
              <w:keepNext/>
              <w:spacing w:lineRule="auto" w:line="360" w:before="120" w:after="200"/>
              <w:jc w:val="center"/>
              <w:rPr>
                <w:rFonts w:cs="Arial" w:ascii="Arial" w:hAnsi="Arial"/>
                <w:b/>
                <w:sz w:val="16"/>
                <w:szCs w:val="16"/>
              </w:rPr>
            </w:pPr>
            <w:r>
              <w:rPr>
                <w:rFonts w:cs="Arial" w:ascii="Arial" w:hAnsi="Arial"/>
                <w:b/>
                <w:sz w:val="16"/>
                <w:szCs w:val="16"/>
              </w:rPr>
              <w:t>Actions</w:t>
            </w:r>
          </w:p>
        </w:tc>
      </w:tr>
      <w:tr>
        <w:trPr>
          <w:trHeight w:val="548" w:hRule="atLeast"/>
          <w:cantSplit w:val="false"/>
        </w:trPr>
        <w:tc>
          <w:tcPr>
            <w:tcW w:w="2267" w:type="dxa"/>
            <w:tcBorders>
              <w:top w:val="single" w:sz="8" w:space="0" w:color="000001"/>
              <w:left w:val="single" w:sz="8" w:space="0" w:color="000001"/>
              <w:bottom w:val="single" w:sz="8" w:space="0" w:color="000001"/>
              <w:insideH w:val="single" w:sz="8" w:space="0" w:color="000001"/>
              <w:right w:val="single" w:sz="8" w:space="0" w:color="000001"/>
              <w:insideV w:val="single" w:sz="8" w:space="0" w:color="000001"/>
            </w:tcBorders>
            <w:shd w:fill="auto" w:val="clear"/>
            <w:tcMar>
              <w:left w:w="107" w:type="dxa"/>
            </w:tcMar>
            <w:vAlign w:val="center"/>
          </w:tcPr>
          <w:p>
            <w:pPr>
              <w:pStyle w:val="Normal"/>
              <w:keepNext/>
              <w:spacing w:lineRule="auto" w:line="360" w:before="120" w:after="200"/>
              <w:jc w:val="center"/>
              <w:rPr>
                <w:rFonts w:cs="Arial" w:ascii="Arial" w:hAnsi="Arial"/>
                <w:sz w:val="16"/>
                <w:szCs w:val="16"/>
              </w:rPr>
            </w:pPr>
            <w:r>
              <w:rPr>
                <w:rFonts w:cs="Arial" w:ascii="Arial" w:hAnsi="Arial"/>
                <w:sz w:val="16"/>
                <w:szCs w:val="16"/>
              </w:rPr>
              <w:t>&lt; 35%</w:t>
            </w:r>
          </w:p>
        </w:tc>
        <w:tc>
          <w:tcPr>
            <w:tcW w:w="4117" w:type="dxa"/>
            <w:tcBorders>
              <w:top w:val="single" w:sz="8" w:space="0" w:color="000001"/>
              <w:left w:val="single" w:sz="8" w:space="0" w:color="000001"/>
              <w:bottom w:val="single" w:sz="8" w:space="0" w:color="000001"/>
              <w:insideH w:val="single" w:sz="8" w:space="0" w:color="000001"/>
              <w:right w:val="single" w:sz="8" w:space="0" w:color="000001"/>
              <w:insideV w:val="single" w:sz="8" w:space="0" w:color="000001"/>
            </w:tcBorders>
            <w:shd w:fill="5AA080" w:val="clear"/>
            <w:tcMar>
              <w:left w:w="107" w:type="dxa"/>
            </w:tcMar>
            <w:vAlign w:val="center"/>
          </w:tcPr>
          <w:p>
            <w:pPr>
              <w:pStyle w:val="Normal"/>
              <w:keepNext/>
              <w:spacing w:lineRule="auto" w:line="360" w:before="120" w:after="200"/>
              <w:jc w:val="center"/>
              <w:rPr>
                <w:rFonts w:cs="Arial" w:ascii="Arial" w:hAnsi="Arial"/>
                <w:color w:val="FFFFFF"/>
                <w:sz w:val="16"/>
                <w:szCs w:val="16"/>
              </w:rPr>
            </w:pPr>
            <w:r>
              <w:rPr>
                <w:rFonts w:cs="Arial" w:ascii="Arial" w:hAnsi="Arial"/>
                <w:color w:val="FFFFFF"/>
                <w:sz w:val="16"/>
                <w:szCs w:val="16"/>
              </w:rPr>
              <w:t>Green Light</w:t>
            </w:r>
          </w:p>
        </w:tc>
        <w:tc>
          <w:tcPr>
            <w:tcW w:w="3192" w:type="dxa"/>
            <w:tcBorders>
              <w:top w:val="single" w:sz="8" w:space="0" w:color="000001"/>
              <w:left w:val="single" w:sz="8" w:space="0" w:color="000001"/>
              <w:bottom w:val="single" w:sz="8" w:space="0" w:color="000001"/>
              <w:insideH w:val="single" w:sz="8" w:space="0" w:color="000001"/>
              <w:right w:val="single" w:sz="8" w:space="0" w:color="000001"/>
              <w:insideV w:val="single" w:sz="8" w:space="0" w:color="000001"/>
            </w:tcBorders>
            <w:shd w:fill="auto" w:val="clear"/>
            <w:tcMar>
              <w:left w:w="107" w:type="dxa"/>
            </w:tcMar>
            <w:vAlign w:val="center"/>
          </w:tcPr>
          <w:p>
            <w:pPr>
              <w:pStyle w:val="Normal"/>
              <w:keepNext/>
              <w:spacing w:lineRule="auto" w:line="360" w:before="120" w:after="200"/>
              <w:rPr>
                <w:rFonts w:cs="Arial" w:ascii="Arial" w:hAnsi="Arial"/>
                <w:sz w:val="16"/>
                <w:szCs w:val="16"/>
              </w:rPr>
            </w:pPr>
            <w:r>
              <w:rPr>
                <w:rFonts w:cs="Arial" w:ascii="Arial" w:hAnsi="Arial"/>
                <w:sz w:val="16"/>
                <w:szCs w:val="16"/>
              </w:rPr>
              <w:t>Monitor and report as normal.</w:t>
            </w:r>
          </w:p>
        </w:tc>
      </w:tr>
      <w:tr>
        <w:trPr>
          <w:trHeight w:val="782" w:hRule="atLeast"/>
          <w:cantSplit w:val="false"/>
        </w:trPr>
        <w:tc>
          <w:tcPr>
            <w:tcW w:w="2267" w:type="dxa"/>
            <w:tcBorders>
              <w:top w:val="single" w:sz="8" w:space="0" w:color="000001"/>
              <w:left w:val="single" w:sz="8" w:space="0" w:color="000001"/>
              <w:bottom w:val="single" w:sz="8" w:space="0" w:color="000001"/>
              <w:insideH w:val="single" w:sz="8" w:space="0" w:color="000001"/>
              <w:right w:val="single" w:sz="8" w:space="0" w:color="000001"/>
              <w:insideV w:val="single" w:sz="8" w:space="0" w:color="000001"/>
            </w:tcBorders>
            <w:shd w:fill="auto" w:val="clear"/>
            <w:tcMar>
              <w:left w:w="107" w:type="dxa"/>
            </w:tcMar>
            <w:vAlign w:val="center"/>
          </w:tcPr>
          <w:p>
            <w:pPr>
              <w:pStyle w:val="Normal"/>
              <w:keepNext/>
              <w:spacing w:lineRule="auto" w:line="360" w:before="120" w:after="200"/>
              <w:jc w:val="center"/>
              <w:rPr>
                <w:rFonts w:cs="Arial" w:ascii="Arial" w:hAnsi="Arial"/>
                <w:sz w:val="16"/>
                <w:szCs w:val="16"/>
              </w:rPr>
            </w:pPr>
            <w:r>
              <w:rPr>
                <w:rFonts w:cs="Arial" w:ascii="Arial" w:hAnsi="Arial"/>
                <w:sz w:val="16"/>
                <w:szCs w:val="16"/>
              </w:rPr>
              <w:t>35% - 40%</w:t>
            </w:r>
          </w:p>
        </w:tc>
        <w:tc>
          <w:tcPr>
            <w:tcW w:w="4117" w:type="dxa"/>
            <w:tcBorders>
              <w:top w:val="single" w:sz="8" w:space="0" w:color="000001"/>
              <w:left w:val="single" w:sz="8" w:space="0" w:color="000001"/>
              <w:bottom w:val="single" w:sz="8" w:space="0" w:color="000001"/>
              <w:insideH w:val="single" w:sz="8" w:space="0" w:color="000001"/>
              <w:right w:val="single" w:sz="8" w:space="0" w:color="000001"/>
              <w:insideV w:val="single" w:sz="8" w:space="0" w:color="000001"/>
            </w:tcBorders>
            <w:shd w:fill="E9D55D" w:val="clear"/>
            <w:tcMar>
              <w:left w:w="107" w:type="dxa"/>
            </w:tcMar>
            <w:vAlign w:val="center"/>
          </w:tcPr>
          <w:p>
            <w:pPr>
              <w:pStyle w:val="Normal"/>
              <w:keepNext/>
              <w:spacing w:lineRule="auto" w:line="360" w:before="120" w:after="200"/>
              <w:jc w:val="center"/>
              <w:rPr>
                <w:rFonts w:cs="Arial" w:ascii="Arial" w:hAnsi="Arial"/>
                <w:sz w:val="16"/>
                <w:szCs w:val="16"/>
              </w:rPr>
            </w:pPr>
            <w:r>
              <w:rPr>
                <w:rFonts w:cs="Arial" w:ascii="Arial" w:hAnsi="Arial"/>
                <w:sz w:val="16"/>
                <w:szCs w:val="16"/>
              </w:rPr>
              <w:t>Yellow Light</w:t>
            </w:r>
          </w:p>
        </w:tc>
        <w:tc>
          <w:tcPr>
            <w:tcW w:w="3192" w:type="dxa"/>
            <w:tcBorders>
              <w:top w:val="single" w:sz="8" w:space="0" w:color="000001"/>
              <w:left w:val="single" w:sz="8" w:space="0" w:color="000001"/>
              <w:bottom w:val="single" w:sz="8" w:space="0" w:color="000001"/>
              <w:insideH w:val="single" w:sz="8" w:space="0" w:color="000001"/>
              <w:right w:val="single" w:sz="8" w:space="0" w:color="000001"/>
              <w:insideV w:val="single" w:sz="8" w:space="0" w:color="000001"/>
            </w:tcBorders>
            <w:shd w:fill="auto" w:val="clear"/>
            <w:tcMar>
              <w:left w:w="107" w:type="dxa"/>
            </w:tcMar>
            <w:vAlign w:val="center"/>
          </w:tcPr>
          <w:p>
            <w:pPr>
              <w:pStyle w:val="Normal"/>
              <w:keepNext/>
              <w:spacing w:lineRule="auto" w:line="360" w:before="120" w:after="200"/>
              <w:rPr>
                <w:rFonts w:cs="Arial" w:ascii="Arial" w:hAnsi="Arial"/>
                <w:sz w:val="16"/>
                <w:szCs w:val="16"/>
              </w:rPr>
            </w:pPr>
            <w:r>
              <w:rPr>
                <w:rFonts w:cs="Arial" w:ascii="Arial" w:hAnsi="Arial"/>
                <w:sz w:val="16"/>
                <w:szCs w:val="16"/>
              </w:rPr>
              <w:t>Actions to restore adequate green light levels will be outlined and assessed for risk/return trade-off on other risk areas. Compliance with green light levels should be achieved within 6 months as deemed reasonable while meeting other risk area needs.</w:t>
            </w:r>
          </w:p>
        </w:tc>
      </w:tr>
      <w:tr>
        <w:trPr>
          <w:trHeight w:val="1178" w:hRule="atLeast"/>
          <w:cantSplit w:val="false"/>
        </w:trPr>
        <w:tc>
          <w:tcPr>
            <w:tcW w:w="2267" w:type="dxa"/>
            <w:tcBorders>
              <w:top w:val="single" w:sz="8" w:space="0" w:color="000001"/>
              <w:left w:val="single" w:sz="8" w:space="0" w:color="000001"/>
              <w:bottom w:val="single" w:sz="8" w:space="0" w:color="000001"/>
              <w:insideH w:val="single" w:sz="8" w:space="0" w:color="000001"/>
              <w:right w:val="single" w:sz="8" w:space="0" w:color="000001"/>
              <w:insideV w:val="single" w:sz="8" w:space="0" w:color="000001"/>
            </w:tcBorders>
            <w:shd w:fill="auto" w:val="clear"/>
            <w:tcMar>
              <w:left w:w="107" w:type="dxa"/>
            </w:tcMar>
            <w:vAlign w:val="center"/>
          </w:tcPr>
          <w:p>
            <w:pPr>
              <w:pStyle w:val="Normal"/>
              <w:keepNext/>
              <w:spacing w:lineRule="auto" w:line="360" w:before="120" w:after="200"/>
              <w:jc w:val="center"/>
              <w:rPr>
                <w:rFonts w:cs="Arial" w:ascii="Arial" w:hAnsi="Arial"/>
                <w:sz w:val="16"/>
                <w:szCs w:val="16"/>
              </w:rPr>
            </w:pPr>
            <w:r>
              <w:rPr>
                <w:rFonts w:cs="Arial" w:ascii="Arial" w:hAnsi="Arial"/>
                <w:sz w:val="16"/>
                <w:szCs w:val="16"/>
              </w:rPr>
              <w:t>&gt; 40%</w:t>
            </w:r>
          </w:p>
        </w:tc>
        <w:tc>
          <w:tcPr>
            <w:tcW w:w="4117" w:type="dxa"/>
            <w:tcBorders>
              <w:top w:val="single" w:sz="8" w:space="0" w:color="000001"/>
              <w:left w:val="single" w:sz="8" w:space="0" w:color="000001"/>
              <w:bottom w:val="single" w:sz="8" w:space="0" w:color="000001"/>
              <w:insideH w:val="single" w:sz="8" w:space="0" w:color="000001"/>
              <w:right w:val="single" w:sz="8" w:space="0" w:color="000001"/>
              <w:insideV w:val="single" w:sz="8" w:space="0" w:color="000001"/>
            </w:tcBorders>
            <w:shd w:fill="AA0606" w:val="clear"/>
            <w:tcMar>
              <w:left w:w="107" w:type="dxa"/>
            </w:tcMar>
            <w:vAlign w:val="center"/>
          </w:tcPr>
          <w:p>
            <w:pPr>
              <w:pStyle w:val="Normal"/>
              <w:keepNext/>
              <w:spacing w:lineRule="auto" w:line="360" w:before="120" w:after="200"/>
              <w:jc w:val="center"/>
              <w:rPr>
                <w:rFonts w:cs="Arial" w:ascii="Arial" w:hAnsi="Arial"/>
                <w:sz w:val="16"/>
                <w:szCs w:val="16"/>
              </w:rPr>
            </w:pPr>
            <w:r>
              <w:rPr>
                <w:rFonts w:cs="Arial" w:ascii="Arial" w:hAnsi="Arial"/>
                <w:sz w:val="16"/>
                <w:szCs w:val="16"/>
              </w:rPr>
              <w:t>Red Light</w:t>
            </w:r>
          </w:p>
        </w:tc>
        <w:tc>
          <w:tcPr>
            <w:tcW w:w="3192" w:type="dxa"/>
            <w:tcBorders>
              <w:top w:val="single" w:sz="8" w:space="0" w:color="000001"/>
              <w:left w:val="single" w:sz="8" w:space="0" w:color="000001"/>
              <w:bottom w:val="single" w:sz="8" w:space="0" w:color="000001"/>
              <w:insideH w:val="single" w:sz="8" w:space="0" w:color="000001"/>
              <w:right w:val="single" w:sz="8" w:space="0" w:color="000001"/>
              <w:insideV w:val="single" w:sz="8" w:space="0" w:color="000001"/>
            </w:tcBorders>
            <w:shd w:fill="auto" w:val="clear"/>
            <w:tcMar>
              <w:left w:w="107" w:type="dxa"/>
            </w:tcMar>
            <w:vAlign w:val="center"/>
          </w:tcPr>
          <w:p>
            <w:pPr>
              <w:pStyle w:val="Normal"/>
              <w:keepNext/>
              <w:spacing w:lineRule="auto" w:line="360" w:before="120" w:after="200"/>
              <w:rPr>
                <w:rFonts w:cs="Arial" w:ascii="Arial" w:hAnsi="Arial"/>
                <w:sz w:val="16"/>
                <w:szCs w:val="16"/>
              </w:rPr>
            </w:pPr>
            <w:r>
              <w:rPr>
                <w:rFonts w:cs="Arial" w:ascii="Arial" w:hAnsi="Arial"/>
                <w:sz w:val="16"/>
                <w:szCs w:val="16"/>
              </w:rPr>
              <w:t>Immediate action required to reduce reliance on Near-Core and Non-Core Funding is identified and implemented with changes in business plan moving to yellow range within 6 months with Board notification.</w:t>
            </w:r>
          </w:p>
        </w:tc>
      </w:tr>
    </w:tbl>
    <w:p>
      <w:pPr>
        <w:pStyle w:val="Normal"/>
        <w:spacing w:lineRule="auto" w:line="360"/>
        <w:rPr>
          <w:rFonts w:cs="Arial" w:ascii="Arial" w:hAnsi="Arial"/>
          <w:sz w:val="16"/>
          <w:szCs w:val="16"/>
        </w:rPr>
      </w:pPr>
      <w:r>
        <w:rPr>
          <w:rFonts w:cs="Arial" w:ascii="Arial" w:hAnsi="Arial"/>
          <w:sz w:val="16"/>
          <w:szCs w:val="16"/>
        </w:rPr>
      </w:r>
    </w:p>
    <w:p>
      <w:pPr>
        <w:pStyle w:val="Heading2"/>
        <w:spacing w:lineRule="auto" w:line="360"/>
        <w:rPr>
          <w:rFonts w:ascii="Arial" w:hAnsi="Arial"/>
          <w:sz w:val="16"/>
          <w:szCs w:val="16"/>
        </w:rPr>
      </w:pPr>
      <w:bookmarkStart w:id="20" w:name="_Toc285613957"/>
      <w:bookmarkEnd w:id="20"/>
      <w:r>
        <w:rPr>
          <w:rFonts w:ascii="Arial" w:hAnsi="Arial"/>
          <w:sz w:val="16"/>
          <w:szCs w:val="16"/>
        </w:rPr>
        <w:t>Event Triggers</w:t>
      </w:r>
    </w:p>
    <w:p>
      <w:pPr>
        <w:pStyle w:val="Normal"/>
        <w:spacing w:lineRule="auto" w:line="360"/>
        <w:rPr>
          <w:rFonts w:cs="Arial" w:ascii="Arial" w:hAnsi="Arial"/>
          <w:sz w:val="16"/>
          <w:szCs w:val="16"/>
        </w:rPr>
      </w:pPr>
      <w:r>
        <w:rPr>
          <w:rFonts w:cs="Arial" w:ascii="Arial" w:hAnsi="Arial"/>
          <w:sz w:val="16"/>
          <w:szCs w:val="16"/>
        </w:rPr>
        <w:t>In addition to the primary policy limits, XYZ’s ALCO will monitor the following ratios and events to ensure rapid changes in liquidity levels do not adversely impact available sources. When the thresholds below are “triggered,” it will cause additional review of the base policy limits and strategies to ensure adequate liquidity availability:</w:t>
      </w:r>
    </w:p>
    <w:p>
      <w:pPr>
        <w:pStyle w:val="ListParagraph"/>
        <w:numPr>
          <w:ilvl w:val="0"/>
          <w:numId w:val="8"/>
        </w:numPr>
        <w:spacing w:lineRule="auto" w:line="360" w:before="0" w:after="0"/>
        <w:rPr>
          <w:rFonts w:cs="Arial" w:ascii="Arial" w:hAnsi="Arial"/>
          <w:sz w:val="16"/>
          <w:szCs w:val="16"/>
        </w:rPr>
      </w:pPr>
      <w:r>
        <w:rPr>
          <w:rFonts w:cs="Arial" w:ascii="Arial" w:hAnsi="Arial"/>
          <w:sz w:val="16"/>
          <w:szCs w:val="16"/>
        </w:rPr>
        <w:t>Asset growth exceeding 5% per month</w:t>
      </w:r>
    </w:p>
    <w:p>
      <w:pPr>
        <w:pStyle w:val="ListParagraph"/>
        <w:numPr>
          <w:ilvl w:val="0"/>
          <w:numId w:val="8"/>
        </w:numPr>
        <w:spacing w:lineRule="auto" w:line="360" w:before="0" w:after="0"/>
        <w:rPr>
          <w:rFonts w:cs="Arial" w:ascii="Arial" w:hAnsi="Arial"/>
          <w:sz w:val="16"/>
          <w:szCs w:val="16"/>
        </w:rPr>
      </w:pPr>
      <w:r>
        <w:rPr>
          <w:rFonts w:cs="Arial" w:ascii="Arial" w:hAnsi="Arial"/>
          <w:sz w:val="16"/>
          <w:szCs w:val="16"/>
        </w:rPr>
        <w:t>Real or perceived negative publicity leading to reductions in deposit balances greater than 5% in one quarter</w:t>
      </w:r>
    </w:p>
    <w:p>
      <w:pPr>
        <w:pStyle w:val="ListParagraph"/>
        <w:numPr>
          <w:ilvl w:val="0"/>
          <w:numId w:val="8"/>
        </w:numPr>
        <w:spacing w:lineRule="auto" w:line="360" w:before="0" w:after="0"/>
        <w:rPr>
          <w:rFonts w:cs="Arial" w:ascii="Arial" w:hAnsi="Arial"/>
          <w:sz w:val="16"/>
          <w:szCs w:val="16"/>
        </w:rPr>
      </w:pPr>
      <w:r>
        <w:rPr>
          <w:rFonts w:cs="Arial" w:ascii="Arial" w:hAnsi="Arial"/>
          <w:sz w:val="16"/>
          <w:szCs w:val="16"/>
        </w:rPr>
        <w:t>Decline in asset quality</w:t>
      </w:r>
    </w:p>
    <w:p>
      <w:pPr>
        <w:pStyle w:val="ListParagraph"/>
        <w:numPr>
          <w:ilvl w:val="1"/>
          <w:numId w:val="16"/>
        </w:numPr>
        <w:spacing w:lineRule="auto" w:line="360" w:before="0" w:after="0"/>
        <w:rPr>
          <w:rFonts w:cs="Arial" w:ascii="Arial" w:hAnsi="Arial"/>
          <w:sz w:val="16"/>
          <w:szCs w:val="16"/>
        </w:rPr>
      </w:pPr>
      <w:r>
        <w:rPr>
          <w:rFonts w:cs="Arial" w:ascii="Arial" w:hAnsi="Arial"/>
          <w:sz w:val="16"/>
          <w:szCs w:val="16"/>
        </w:rPr>
        <w:t>Non Performing Assets/Total Assets &gt; 5% (NPA = Non Accruals + 90</w:t>
        <w:br/>
        <w:t>days and over past dues and OREO)</w:t>
      </w:r>
    </w:p>
    <w:p>
      <w:pPr>
        <w:pStyle w:val="ListParagraph"/>
        <w:numPr>
          <w:ilvl w:val="1"/>
          <w:numId w:val="16"/>
        </w:numPr>
        <w:spacing w:lineRule="auto" w:line="360" w:before="0" w:after="0"/>
        <w:rPr>
          <w:rFonts w:cs="Arial" w:ascii="Arial" w:hAnsi="Arial"/>
          <w:sz w:val="16"/>
          <w:szCs w:val="16"/>
        </w:rPr>
      </w:pPr>
      <w:r>
        <w:rPr>
          <w:rFonts w:cs="Arial" w:ascii="Arial" w:hAnsi="Arial"/>
          <w:sz w:val="16"/>
          <w:szCs w:val="16"/>
        </w:rPr>
        <w:t>Net Charge-Offs/Assets &gt;2%</w:t>
      </w:r>
    </w:p>
    <w:p>
      <w:pPr>
        <w:pStyle w:val="ListParagraph"/>
        <w:numPr>
          <w:ilvl w:val="0"/>
          <w:numId w:val="8"/>
        </w:numPr>
        <w:spacing w:lineRule="auto" w:line="360" w:before="0" w:after="0"/>
        <w:rPr>
          <w:rFonts w:cs="Arial" w:ascii="Arial" w:hAnsi="Arial"/>
          <w:sz w:val="16"/>
          <w:szCs w:val="16"/>
        </w:rPr>
      </w:pPr>
      <w:r>
        <w:rPr>
          <w:rFonts w:cs="Arial" w:ascii="Arial" w:hAnsi="Arial"/>
          <w:sz w:val="16"/>
          <w:szCs w:val="16"/>
        </w:rPr>
        <w:t>Correspondent Banks or other wholesale funding sources decrease or eliminate credit line availability</w:t>
      </w:r>
    </w:p>
    <w:p>
      <w:pPr>
        <w:pStyle w:val="ListParagraph"/>
        <w:numPr>
          <w:ilvl w:val="0"/>
          <w:numId w:val="8"/>
        </w:numPr>
        <w:spacing w:lineRule="auto" w:line="360" w:before="0" w:after="0"/>
        <w:rPr>
          <w:rFonts w:cs="Arial" w:ascii="Arial" w:hAnsi="Arial"/>
          <w:sz w:val="16"/>
          <w:szCs w:val="16"/>
        </w:rPr>
      </w:pPr>
      <w:r>
        <w:rPr>
          <w:rFonts w:cs="Arial" w:ascii="Arial" w:hAnsi="Arial"/>
          <w:sz w:val="16"/>
          <w:szCs w:val="16"/>
        </w:rPr>
        <w:t>Capital ratios drop to within 0.5% of Prompt Corrective Action (PCA) Well-Capitalized levels</w:t>
      </w:r>
    </w:p>
    <w:p>
      <w:pPr>
        <w:pStyle w:val="ListParagraph"/>
        <w:numPr>
          <w:ilvl w:val="0"/>
          <w:numId w:val="8"/>
        </w:numPr>
        <w:spacing w:lineRule="auto" w:line="360" w:before="0" w:after="0"/>
        <w:rPr>
          <w:rFonts w:cs="Arial" w:ascii="Arial" w:hAnsi="Arial"/>
          <w:sz w:val="16"/>
          <w:szCs w:val="16"/>
        </w:rPr>
      </w:pPr>
      <w:r>
        <w:rPr>
          <w:rFonts w:cs="Arial" w:ascii="Arial" w:hAnsi="Arial"/>
          <w:sz w:val="16"/>
          <w:szCs w:val="16"/>
        </w:rPr>
        <w:t>Negative earnings for three consecutive months</w:t>
      </w:r>
    </w:p>
    <w:p>
      <w:pPr>
        <w:pStyle w:val="Heading1"/>
        <w:spacing w:lineRule="auto" w:line="360"/>
        <w:rPr>
          <w:rFonts w:ascii="Arial" w:hAnsi="Arial"/>
          <w:sz w:val="16"/>
          <w:szCs w:val="16"/>
        </w:rPr>
      </w:pPr>
      <w:bookmarkStart w:id="21" w:name="_Toc285613958"/>
      <w:bookmarkEnd w:id="21"/>
      <w:r>
        <w:rPr>
          <w:rFonts w:ascii="Arial" w:hAnsi="Arial"/>
          <w:sz w:val="16"/>
          <w:szCs w:val="16"/>
        </w:rPr>
        <w:t>Contingency Funding Plans</w:t>
      </w:r>
    </w:p>
    <w:p>
      <w:pPr>
        <w:pStyle w:val="Normal"/>
        <w:spacing w:lineRule="auto" w:line="360"/>
        <w:rPr>
          <w:rFonts w:cs="Arial" w:ascii="Arial" w:hAnsi="Arial"/>
          <w:sz w:val="16"/>
          <w:szCs w:val="16"/>
        </w:rPr>
      </w:pPr>
      <w:r>
        <w:rPr>
          <w:rFonts w:cs="Arial" w:ascii="Arial" w:hAnsi="Arial"/>
          <w:sz w:val="16"/>
          <w:szCs w:val="16"/>
        </w:rPr>
        <w:t xml:space="preserve">The Board of Directors and management of XYZ recognize the importance of liquidity in the day-to-day operation of our franchise and believe it crucial to have a plan for addressing liquidity in times of stress. We believe that liquidity stress events can occur both from internal as well as external events and our plan addresses both contingencies. </w:t>
      </w:r>
    </w:p>
    <w:p>
      <w:pPr>
        <w:pStyle w:val="Normal"/>
        <w:spacing w:lineRule="auto" w:line="360"/>
        <w:rPr>
          <w:rFonts w:cs="Arial" w:ascii="Arial" w:hAnsi="Arial"/>
          <w:sz w:val="16"/>
          <w:szCs w:val="16"/>
        </w:rPr>
      </w:pPr>
      <w:r>
        <w:rPr>
          <w:rFonts w:cs="Arial" w:ascii="Arial" w:hAnsi="Arial"/>
          <w:sz w:val="16"/>
          <w:szCs w:val="16"/>
        </w:rPr>
        <w:t>In assessing overall liquidity, it is important that the base business plan be stressed in such a manner as to consider unplanned liquidity stress events that result in outgoing cash flows exceeding those anticipated in the base strategy liquidity gap calculations. XYZ management will have contingency funding plans in place to manage short-term and long-term crises. The plan for the most significant stress events will be reviewed annually in conjunction with the planning process, or more frequently as needed. Specific plan items will be updated in Appendix A by reference and used in the liquidity testing process until new plans are developed and approved. Contingency plans will consider the following sources of funding:</w:t>
      </w:r>
    </w:p>
    <w:p>
      <w:pPr>
        <w:pStyle w:val="Normal"/>
        <w:spacing w:lineRule="auto" w:line="360" w:before="0" w:after="0"/>
        <w:rPr>
          <w:rFonts w:cs="Arial" w:ascii="Arial" w:hAnsi="Arial"/>
          <w:bCs/>
          <w:iCs/>
          <w:sz w:val="16"/>
          <w:szCs w:val="16"/>
        </w:rPr>
      </w:pPr>
      <w:r>
        <w:rPr>
          <w:rFonts w:cs="Arial" w:ascii="Arial" w:hAnsi="Arial"/>
          <w:bCs/>
          <w:iCs/>
          <w:sz w:val="16"/>
          <w:szCs w:val="16"/>
        </w:rPr>
        <w:t>Liabilities</w:t>
      </w:r>
    </w:p>
    <w:p>
      <w:pPr>
        <w:pStyle w:val="ListParagraph"/>
        <w:numPr>
          <w:ilvl w:val="0"/>
          <w:numId w:val="11"/>
        </w:numPr>
        <w:spacing w:lineRule="auto" w:line="360" w:before="0" w:after="0"/>
        <w:rPr>
          <w:rFonts w:cs="Arial" w:ascii="Arial" w:hAnsi="Arial"/>
          <w:sz w:val="16"/>
          <w:szCs w:val="16"/>
        </w:rPr>
      </w:pPr>
      <w:r>
        <w:rPr>
          <w:rFonts w:cs="Arial" w:ascii="Arial" w:hAnsi="Arial"/>
          <w:sz w:val="16"/>
          <w:szCs w:val="16"/>
        </w:rPr>
        <w:t>Retail Deposit Base – generated by actively seeking deposits through service-related tactics and competitive pricing tactics</w:t>
      </w:r>
    </w:p>
    <w:p>
      <w:pPr>
        <w:pStyle w:val="ListParagraph"/>
        <w:numPr>
          <w:ilvl w:val="0"/>
          <w:numId w:val="11"/>
        </w:numPr>
        <w:spacing w:lineRule="auto" w:line="360" w:before="0" w:after="0"/>
        <w:rPr>
          <w:rFonts w:cs="Arial" w:ascii="Arial" w:hAnsi="Arial"/>
          <w:sz w:val="16"/>
          <w:szCs w:val="16"/>
        </w:rPr>
      </w:pPr>
      <w:r>
        <w:rPr>
          <w:rFonts w:cs="Arial" w:ascii="Arial" w:hAnsi="Arial"/>
          <w:sz w:val="16"/>
          <w:szCs w:val="16"/>
        </w:rPr>
        <w:t>Non-Core Funding – considers the use of all Primary and Contingent Funding Sources discussed in the Funding Sources section of this document</w:t>
      </w:r>
    </w:p>
    <w:p>
      <w:pPr>
        <w:pStyle w:val="Normal"/>
        <w:spacing w:lineRule="auto" w:line="360" w:before="0" w:after="0"/>
        <w:rPr>
          <w:rFonts w:cs="Arial" w:ascii="Arial" w:hAnsi="Arial"/>
          <w:b/>
          <w:bCs/>
          <w:i/>
          <w:iCs/>
          <w:sz w:val="16"/>
          <w:szCs w:val="16"/>
        </w:rPr>
      </w:pPr>
      <w:r>
        <w:rPr>
          <w:rFonts w:cs="Arial" w:ascii="Arial" w:hAnsi="Arial"/>
          <w:b/>
          <w:bCs/>
          <w:i/>
          <w:iCs/>
          <w:sz w:val="16"/>
          <w:szCs w:val="16"/>
        </w:rPr>
      </w:r>
    </w:p>
    <w:p>
      <w:pPr>
        <w:pStyle w:val="Normal"/>
        <w:spacing w:lineRule="auto" w:line="360" w:before="0" w:after="0"/>
        <w:rPr>
          <w:rFonts w:cs="Arial" w:ascii="Arial" w:hAnsi="Arial"/>
          <w:bCs/>
          <w:iCs/>
          <w:sz w:val="16"/>
          <w:szCs w:val="16"/>
        </w:rPr>
      </w:pPr>
      <w:r>
        <w:rPr>
          <w:rFonts w:cs="Arial" w:ascii="Arial" w:hAnsi="Arial"/>
          <w:bCs/>
          <w:iCs/>
          <w:sz w:val="16"/>
          <w:szCs w:val="16"/>
        </w:rPr>
        <w:t>Assets</w:t>
      </w:r>
    </w:p>
    <w:p>
      <w:pPr>
        <w:pStyle w:val="ListParagraph"/>
        <w:numPr>
          <w:ilvl w:val="0"/>
          <w:numId w:val="12"/>
        </w:numPr>
        <w:spacing w:lineRule="auto" w:line="360" w:before="0" w:after="0"/>
        <w:rPr>
          <w:rFonts w:cs="Arial" w:ascii="Arial" w:hAnsi="Arial"/>
          <w:sz w:val="16"/>
          <w:szCs w:val="16"/>
        </w:rPr>
      </w:pPr>
      <w:r>
        <w:rPr>
          <w:rFonts w:cs="Arial" w:ascii="Arial" w:hAnsi="Arial"/>
          <w:sz w:val="16"/>
          <w:szCs w:val="16"/>
        </w:rPr>
        <w:t>Sale of highly liquid unencumbered marketable securities</w:t>
      </w:r>
    </w:p>
    <w:p>
      <w:pPr>
        <w:pStyle w:val="ListParagraph"/>
        <w:numPr>
          <w:ilvl w:val="0"/>
          <w:numId w:val="12"/>
        </w:numPr>
        <w:spacing w:lineRule="auto" w:line="360" w:before="0" w:after="0"/>
        <w:rPr>
          <w:rFonts w:cs="Arial" w:ascii="Arial" w:hAnsi="Arial"/>
          <w:sz w:val="16"/>
          <w:szCs w:val="16"/>
        </w:rPr>
      </w:pPr>
      <w:r>
        <w:rPr>
          <w:rFonts w:cs="Arial" w:ascii="Arial" w:hAnsi="Arial"/>
          <w:sz w:val="16"/>
          <w:szCs w:val="16"/>
        </w:rPr>
        <w:t>Sale of other securities should losses on sales be affordable</w:t>
      </w:r>
    </w:p>
    <w:p>
      <w:pPr>
        <w:pStyle w:val="ListParagraph"/>
        <w:numPr>
          <w:ilvl w:val="0"/>
          <w:numId w:val="12"/>
        </w:numPr>
        <w:spacing w:lineRule="auto" w:line="360" w:before="0" w:after="0"/>
        <w:rPr>
          <w:rFonts w:cs="Arial" w:ascii="Arial" w:hAnsi="Arial"/>
          <w:sz w:val="16"/>
          <w:szCs w:val="16"/>
        </w:rPr>
      </w:pPr>
      <w:r>
        <w:rPr>
          <w:rFonts w:cs="Arial" w:ascii="Arial" w:hAnsi="Arial"/>
          <w:sz w:val="16"/>
          <w:szCs w:val="16"/>
        </w:rPr>
        <w:t>Loan Participations/Sales</w:t>
      </w:r>
    </w:p>
    <w:p>
      <w:pPr>
        <w:pStyle w:val="ListParagraph"/>
        <w:numPr>
          <w:ilvl w:val="0"/>
          <w:numId w:val="12"/>
        </w:numPr>
        <w:spacing w:lineRule="auto" w:line="360" w:before="0" w:after="0"/>
        <w:rPr>
          <w:rFonts w:cs="Arial" w:ascii="Arial" w:hAnsi="Arial"/>
          <w:sz w:val="16"/>
          <w:szCs w:val="16"/>
        </w:rPr>
      </w:pPr>
      <w:r>
        <w:rPr>
          <w:rFonts w:cs="Arial" w:ascii="Arial" w:hAnsi="Arial"/>
          <w:sz w:val="16"/>
          <w:szCs w:val="16"/>
        </w:rPr>
        <w:t>Cuts in loan originations</w:t>
      </w:r>
    </w:p>
    <w:p>
      <w:pPr>
        <w:pStyle w:val="ListParagraph"/>
        <w:numPr>
          <w:ilvl w:val="0"/>
          <w:numId w:val="12"/>
        </w:numPr>
        <w:spacing w:lineRule="auto" w:line="360" w:before="0" w:after="0"/>
        <w:rPr>
          <w:rFonts w:cs="Arial" w:ascii="Arial" w:hAnsi="Arial"/>
          <w:sz w:val="16"/>
          <w:szCs w:val="16"/>
        </w:rPr>
      </w:pPr>
      <w:r>
        <w:rPr>
          <w:rFonts w:cs="Arial" w:ascii="Arial" w:hAnsi="Arial"/>
          <w:sz w:val="16"/>
          <w:szCs w:val="16"/>
        </w:rPr>
        <w:t>Sale of branches and/or business entities</w:t>
      </w:r>
    </w:p>
    <w:p>
      <w:pPr>
        <w:pStyle w:val="Heading2"/>
        <w:spacing w:lineRule="auto" w:line="360"/>
        <w:rPr>
          <w:rFonts w:ascii="Arial" w:hAnsi="Arial"/>
          <w:sz w:val="16"/>
          <w:szCs w:val="16"/>
        </w:rPr>
      </w:pPr>
      <w:bookmarkStart w:id="22" w:name="_Toc285613959"/>
      <w:bookmarkEnd w:id="22"/>
      <w:r>
        <w:rPr>
          <w:rFonts w:ascii="Arial" w:hAnsi="Arial"/>
          <w:sz w:val="16"/>
          <w:szCs w:val="16"/>
        </w:rPr>
        <w:t>Facilities Periodically Tested</w:t>
      </w:r>
    </w:p>
    <w:p>
      <w:pPr>
        <w:pStyle w:val="Normal"/>
        <w:spacing w:lineRule="auto" w:line="360"/>
        <w:rPr>
          <w:rFonts w:cs="Arial" w:ascii="Arial" w:hAnsi="Arial"/>
          <w:sz w:val="16"/>
          <w:szCs w:val="16"/>
        </w:rPr>
      </w:pPr>
      <w:r>
        <w:rPr>
          <w:rFonts w:cs="Arial" w:ascii="Arial" w:hAnsi="Arial"/>
          <w:sz w:val="16"/>
          <w:szCs w:val="16"/>
        </w:rPr>
        <w:t>XYZ management recognizes the importance of periodically testing the availability and time to deliver of the various sources of funds. It is our intent to test these facilities at least once per year on a rotating basis so that at least one source is tested every quarter. The time of the most recent test will be contained on a contingent funding source status report. A contingent funding source status report is a list of Near-Core and Non-Core Funding sources, their current utilization, the policy limit, unused capacity, and the last time the source was tested.</w:t>
      </w:r>
    </w:p>
    <w:p>
      <w:pPr>
        <w:pStyle w:val="Heading2"/>
        <w:spacing w:lineRule="auto" w:line="360"/>
        <w:rPr>
          <w:rFonts w:ascii="Arial" w:hAnsi="Arial"/>
          <w:sz w:val="16"/>
          <w:szCs w:val="16"/>
        </w:rPr>
      </w:pPr>
      <w:bookmarkStart w:id="23" w:name="_Toc285613960"/>
      <w:bookmarkEnd w:id="23"/>
      <w:r>
        <w:rPr>
          <w:rFonts w:ascii="Arial" w:hAnsi="Arial"/>
          <w:sz w:val="16"/>
          <w:szCs w:val="16"/>
        </w:rPr>
        <w:t>Timelines to Raise Funding Documented</w:t>
      </w:r>
    </w:p>
    <w:p>
      <w:pPr>
        <w:pStyle w:val="Normal"/>
        <w:spacing w:lineRule="auto" w:line="360"/>
        <w:rPr>
          <w:rFonts w:cs="Arial" w:ascii="Arial" w:hAnsi="Arial"/>
          <w:sz w:val="16"/>
          <w:szCs w:val="16"/>
        </w:rPr>
      </w:pPr>
      <w:r>
        <w:rPr>
          <w:rFonts w:cs="Arial" w:ascii="Arial" w:hAnsi="Arial"/>
          <w:sz w:val="16"/>
          <w:szCs w:val="16"/>
        </w:rPr>
        <w:t>Results of testing will be stored in a facility testing file. This file will contain reports on each test conducted in terms of the amount and nature of funding availability tested. Notes will also indicate how long it took to bring the funds on line.</w:t>
      </w:r>
    </w:p>
    <w:p>
      <w:pPr>
        <w:pStyle w:val="Heading1"/>
        <w:spacing w:lineRule="auto" w:line="360"/>
        <w:rPr>
          <w:rFonts w:ascii="Arial" w:hAnsi="Arial"/>
          <w:sz w:val="16"/>
          <w:szCs w:val="16"/>
        </w:rPr>
      </w:pPr>
      <w:bookmarkStart w:id="24" w:name="_Toc285613961"/>
      <w:bookmarkEnd w:id="24"/>
      <w:r>
        <w:rPr>
          <w:rFonts w:ascii="Arial" w:hAnsi="Arial"/>
          <w:sz w:val="16"/>
          <w:szCs w:val="16"/>
        </w:rPr>
        <w:t>Liquidity Stress Events</w:t>
      </w:r>
    </w:p>
    <w:p>
      <w:pPr>
        <w:pStyle w:val="Normal"/>
        <w:spacing w:lineRule="auto" w:line="360" w:before="0" w:after="0"/>
        <w:rPr>
          <w:rFonts w:cs="Arial" w:ascii="Arial" w:hAnsi="Arial"/>
          <w:sz w:val="16"/>
          <w:szCs w:val="16"/>
        </w:rPr>
      </w:pPr>
      <w:r>
        <w:rPr>
          <w:rFonts w:cs="Arial" w:ascii="Arial" w:hAnsi="Arial"/>
          <w:sz w:val="16"/>
          <w:szCs w:val="16"/>
        </w:rPr>
        <w:t xml:space="preserve">Liquidity Stress events can be both short- and long-term and can be created by internal or external situations. </w:t>
      </w:r>
    </w:p>
    <w:p>
      <w:pPr>
        <w:pStyle w:val="Heading2"/>
        <w:spacing w:lineRule="auto" w:line="360"/>
        <w:rPr>
          <w:rFonts w:ascii="Arial" w:hAnsi="Arial"/>
          <w:sz w:val="16"/>
          <w:szCs w:val="16"/>
        </w:rPr>
      </w:pPr>
      <w:bookmarkStart w:id="25" w:name="_Toc285613962"/>
      <w:bookmarkEnd w:id="25"/>
      <w:r>
        <w:rPr>
          <w:rFonts w:ascii="Arial" w:hAnsi="Arial"/>
          <w:sz w:val="16"/>
          <w:szCs w:val="16"/>
        </w:rPr>
        <w:t>Short-Term Crises</w:t>
      </w:r>
    </w:p>
    <w:p>
      <w:pPr>
        <w:pStyle w:val="Normal"/>
        <w:spacing w:lineRule="auto" w:line="360" w:before="0" w:after="0"/>
        <w:rPr>
          <w:rFonts w:cs="Arial" w:ascii="Arial" w:hAnsi="Arial"/>
          <w:sz w:val="16"/>
          <w:szCs w:val="16"/>
        </w:rPr>
      </w:pPr>
      <w:r>
        <w:rPr>
          <w:rFonts w:cs="Arial" w:ascii="Arial" w:hAnsi="Arial"/>
          <w:sz w:val="16"/>
          <w:szCs w:val="16"/>
        </w:rPr>
        <w:t>Short-term crises may revolve around weather-related issues, acts of war, or public relations issues that could reflect badly on the bank leading to large deposit withdrawal or withdrawal of funding sources. Short-term crises may also entail the freeze-up of the securitization markets, making it impossible to sell mortgages originated for sale.</w:t>
      </w:r>
    </w:p>
    <w:p>
      <w:pPr>
        <w:pStyle w:val="Normal"/>
        <w:spacing w:lineRule="auto" w:line="360" w:before="0" w:after="0"/>
        <w:rPr>
          <w:rFonts w:cs="Arial" w:ascii="Arial" w:hAnsi="Arial"/>
          <w:sz w:val="16"/>
          <w:szCs w:val="16"/>
        </w:rPr>
      </w:pPr>
      <w:r>
        <w:rPr>
          <w:rFonts w:cs="Arial" w:ascii="Arial" w:hAnsi="Arial"/>
          <w:sz w:val="16"/>
          <w:szCs w:val="16"/>
        </w:rPr>
      </w:r>
    </w:p>
    <w:p>
      <w:pPr>
        <w:pStyle w:val="Normal"/>
        <w:keepNext/>
        <w:spacing w:lineRule="auto" w:line="360" w:before="0" w:after="0"/>
        <w:rPr>
          <w:rFonts w:cs="Arial" w:ascii="Arial" w:hAnsi="Arial"/>
          <w:sz w:val="16"/>
          <w:szCs w:val="16"/>
        </w:rPr>
      </w:pPr>
      <w:r>
        <w:rPr>
          <w:rFonts w:cs="Arial" w:ascii="Arial" w:hAnsi="Arial"/>
          <w:sz w:val="16"/>
          <w:szCs w:val="16"/>
        </w:rPr>
        <w:t>To model short-term crises, management will conduct the LCR, which is a short-term (30-day) stress test which includes the following:</w:t>
      </w:r>
    </w:p>
    <w:p>
      <w:pPr>
        <w:pStyle w:val="ListParagraph"/>
        <w:numPr>
          <w:ilvl w:val="0"/>
          <w:numId w:val="9"/>
        </w:numPr>
        <w:spacing w:lineRule="auto" w:line="360" w:before="0" w:after="0"/>
        <w:rPr>
          <w:rFonts w:cs="Arial" w:ascii="Arial" w:hAnsi="Arial"/>
          <w:sz w:val="16"/>
          <w:szCs w:val="16"/>
        </w:rPr>
      </w:pPr>
      <w:r>
        <w:rPr>
          <w:rFonts w:cs="Arial" w:ascii="Arial" w:hAnsi="Arial"/>
          <w:sz w:val="16"/>
          <w:szCs w:val="16"/>
        </w:rPr>
        <w:t>XYZ is totally cut off from all Non-Core Funding sources for 30 days.</w:t>
      </w:r>
    </w:p>
    <w:p>
      <w:pPr>
        <w:pStyle w:val="ListParagraph"/>
        <w:numPr>
          <w:ilvl w:val="0"/>
          <w:numId w:val="9"/>
        </w:numPr>
        <w:spacing w:lineRule="auto" w:line="360" w:before="0" w:after="0"/>
        <w:rPr>
          <w:rFonts w:cs="Arial" w:ascii="Arial" w:hAnsi="Arial"/>
          <w:sz w:val="16"/>
          <w:szCs w:val="16"/>
        </w:rPr>
      </w:pPr>
      <w:r>
        <w:rPr>
          <w:rFonts w:cs="Arial" w:ascii="Arial" w:hAnsi="Arial"/>
          <w:sz w:val="16"/>
          <w:szCs w:val="16"/>
        </w:rPr>
        <w:t>There is a significant deposit runoff.</w:t>
      </w:r>
    </w:p>
    <w:p>
      <w:pPr>
        <w:pStyle w:val="ListParagraph"/>
        <w:numPr>
          <w:ilvl w:val="0"/>
          <w:numId w:val="9"/>
        </w:numPr>
        <w:spacing w:lineRule="auto" w:line="360" w:before="0" w:after="0"/>
        <w:rPr>
          <w:rFonts w:cs="Arial" w:ascii="Arial" w:hAnsi="Arial"/>
          <w:sz w:val="16"/>
          <w:szCs w:val="16"/>
        </w:rPr>
      </w:pPr>
      <w:r>
        <w:rPr>
          <w:rFonts w:cs="Arial" w:ascii="Arial" w:hAnsi="Arial"/>
          <w:sz w:val="16"/>
          <w:szCs w:val="16"/>
        </w:rPr>
        <w:t>A portion of unused credit lines is drawn down.</w:t>
      </w:r>
    </w:p>
    <w:p>
      <w:pPr>
        <w:pStyle w:val="Normal"/>
        <w:spacing w:lineRule="auto" w:line="360" w:before="0" w:after="0"/>
        <w:rPr>
          <w:rFonts w:cs="Arial" w:ascii="Arial" w:hAnsi="Arial"/>
          <w:sz w:val="16"/>
          <w:szCs w:val="16"/>
        </w:rPr>
      </w:pPr>
      <w:r>
        <w:rPr>
          <w:rFonts w:cs="Arial" w:ascii="Arial" w:hAnsi="Arial"/>
          <w:sz w:val="16"/>
          <w:szCs w:val="16"/>
        </w:rPr>
      </w:r>
    </w:p>
    <w:p>
      <w:pPr>
        <w:pStyle w:val="Normal"/>
        <w:spacing w:lineRule="auto" w:line="360" w:before="0" w:after="0"/>
        <w:rPr>
          <w:rFonts w:cs="Arial" w:ascii="Arial" w:hAnsi="Arial"/>
          <w:sz w:val="16"/>
          <w:szCs w:val="16"/>
        </w:rPr>
      </w:pPr>
      <w:r>
        <w:rPr>
          <w:rFonts w:cs="Arial" w:ascii="Arial" w:hAnsi="Arial"/>
          <w:sz w:val="16"/>
          <w:szCs w:val="16"/>
        </w:rPr>
        <w:t>Conducting the LCR evaluates whether there is sufficient asset based liquidity in the form of highly liquid unencumbered marketable securities, cash, and cash equivalents to cover net outflows of funds (outflows less inflows).</w:t>
      </w:r>
    </w:p>
    <w:p>
      <w:pPr>
        <w:pStyle w:val="Normal"/>
        <w:spacing w:lineRule="auto" w:line="360" w:before="0" w:after="0"/>
        <w:rPr>
          <w:rFonts w:cs="Arial" w:ascii="Arial" w:hAnsi="Arial"/>
          <w:sz w:val="16"/>
          <w:szCs w:val="16"/>
        </w:rPr>
      </w:pPr>
      <w:r>
        <w:rPr>
          <w:rFonts w:cs="Arial" w:ascii="Arial" w:hAnsi="Arial"/>
          <w:sz w:val="16"/>
          <w:szCs w:val="16"/>
        </w:rPr>
      </w:r>
    </w:p>
    <w:p>
      <w:pPr>
        <w:pStyle w:val="Normal"/>
        <w:spacing w:lineRule="auto" w:line="360" w:before="0" w:after="0"/>
        <w:rPr>
          <w:rFonts w:cs="Arial" w:ascii="Arial" w:hAnsi="Arial"/>
          <w:sz w:val="16"/>
          <w:szCs w:val="16"/>
        </w:rPr>
      </w:pPr>
      <w:r>
        <w:rPr>
          <w:rFonts w:cs="Arial" w:ascii="Arial" w:hAnsi="Arial"/>
          <w:sz w:val="16"/>
          <w:szCs w:val="16"/>
        </w:rPr>
        <w:t>The effects of the LCR test assumptions are likely to be much more severe than the effects of the short-term crises envisioned by management. In the stress events envisioned, XYZ is likely to have access to its unused borrowing capacity in addition to its asset-based liquidity. For that reason, XYZ management feels the LCR test more than adequately stress tests the effect of either of these two scenarios.</w:t>
      </w:r>
    </w:p>
    <w:p>
      <w:pPr>
        <w:pStyle w:val="Normal"/>
        <w:spacing w:lineRule="auto" w:line="360" w:before="0" w:after="0"/>
        <w:rPr>
          <w:rFonts w:cs="Arial" w:ascii="Arial" w:hAnsi="Arial"/>
          <w:sz w:val="16"/>
          <w:szCs w:val="16"/>
        </w:rPr>
      </w:pPr>
      <w:r>
        <w:rPr>
          <w:rFonts w:cs="Arial" w:ascii="Arial" w:hAnsi="Arial"/>
          <w:sz w:val="16"/>
          <w:szCs w:val="16"/>
        </w:rPr>
      </w:r>
    </w:p>
    <w:p>
      <w:pPr>
        <w:pStyle w:val="Normal"/>
        <w:spacing w:lineRule="auto" w:line="360" w:before="0" w:after="0"/>
        <w:rPr>
          <w:rFonts w:cs="Arial" w:ascii="Arial" w:hAnsi="Arial"/>
          <w:sz w:val="16"/>
          <w:szCs w:val="16"/>
        </w:rPr>
      </w:pPr>
      <w:r>
        <w:rPr>
          <w:rFonts w:cs="Arial" w:ascii="Arial" w:hAnsi="Arial"/>
          <w:sz w:val="16"/>
          <w:szCs w:val="16"/>
        </w:rPr>
        <w:t>XYZ’s plan in these situations is to utilize XYZ’s stock of highly liquid unencumbered marketable securities (measured using the Liquidity Coverage Ratio) to maintain XYZ’s liquidity position while working through a short-term crisis. If necessary, XYZ would supplement the asset-based funding through the most desirable sources of Non-Core Funding (from the standpoint of cost and structure), such as the following:</w:t>
      </w:r>
    </w:p>
    <w:p>
      <w:pPr>
        <w:pStyle w:val="ListParagraph"/>
        <w:numPr>
          <w:ilvl w:val="0"/>
          <w:numId w:val="9"/>
        </w:numPr>
        <w:spacing w:lineRule="auto" w:line="360" w:before="0" w:after="0"/>
        <w:rPr>
          <w:rFonts w:cs="Arial" w:ascii="Arial" w:hAnsi="Arial"/>
          <w:sz w:val="16"/>
          <w:szCs w:val="16"/>
        </w:rPr>
      </w:pPr>
      <w:r>
        <w:rPr>
          <w:rFonts w:cs="Arial" w:ascii="Arial" w:hAnsi="Arial"/>
          <w:sz w:val="16"/>
          <w:szCs w:val="16"/>
        </w:rPr>
        <w:t>Use fed funds lines, brokered CDs, national market CDs, Federal Home Loan Bank (FHLB) advances and the Federal Reserve discount window</w:t>
      </w:r>
    </w:p>
    <w:p>
      <w:pPr>
        <w:pStyle w:val="ListParagraph"/>
        <w:numPr>
          <w:ilvl w:val="0"/>
          <w:numId w:val="9"/>
        </w:numPr>
        <w:spacing w:lineRule="auto" w:line="360" w:before="0" w:after="0"/>
        <w:rPr>
          <w:rFonts w:cs="Arial" w:ascii="Arial" w:hAnsi="Arial"/>
          <w:sz w:val="16"/>
          <w:szCs w:val="16"/>
        </w:rPr>
      </w:pPr>
      <w:r>
        <w:rPr>
          <w:rFonts w:cs="Arial" w:ascii="Arial" w:hAnsi="Arial"/>
          <w:sz w:val="16"/>
          <w:szCs w:val="16"/>
        </w:rPr>
        <w:t>Lengthen the maturity of CDs</w:t>
      </w:r>
    </w:p>
    <w:p>
      <w:pPr>
        <w:pStyle w:val="ListParagraph"/>
        <w:numPr>
          <w:ilvl w:val="0"/>
          <w:numId w:val="9"/>
        </w:numPr>
        <w:spacing w:lineRule="auto" w:line="360" w:before="0" w:after="0"/>
        <w:rPr>
          <w:rFonts w:cs="Arial" w:ascii="Arial" w:hAnsi="Arial"/>
          <w:sz w:val="16"/>
          <w:szCs w:val="16"/>
        </w:rPr>
      </w:pPr>
      <w:r>
        <w:rPr>
          <w:rFonts w:cs="Arial" w:ascii="Arial" w:hAnsi="Arial"/>
          <w:sz w:val="16"/>
          <w:szCs w:val="16"/>
        </w:rPr>
        <w:t>Ensure all securities that are not pledged could be available for repurchase agreements (repos)</w:t>
      </w:r>
    </w:p>
    <w:p>
      <w:pPr>
        <w:pStyle w:val="ListParagraph"/>
        <w:numPr>
          <w:ilvl w:val="0"/>
          <w:numId w:val="9"/>
        </w:numPr>
        <w:spacing w:lineRule="auto" w:line="360" w:before="0" w:after="0"/>
        <w:rPr>
          <w:rFonts w:cs="Arial" w:ascii="Arial" w:hAnsi="Arial"/>
          <w:sz w:val="16"/>
          <w:szCs w:val="16"/>
        </w:rPr>
      </w:pPr>
      <w:r>
        <w:rPr>
          <w:rFonts w:cs="Arial" w:ascii="Arial" w:hAnsi="Arial"/>
          <w:sz w:val="16"/>
          <w:szCs w:val="16"/>
        </w:rPr>
        <w:t>Monitor daily demand and time deposit activity of the bank’s largest customers</w:t>
      </w:r>
    </w:p>
    <w:p>
      <w:pPr>
        <w:pStyle w:val="ListParagraph"/>
        <w:numPr>
          <w:ilvl w:val="0"/>
          <w:numId w:val="9"/>
        </w:numPr>
        <w:spacing w:lineRule="auto" w:line="360" w:before="0" w:after="0"/>
        <w:rPr>
          <w:rFonts w:cs="Arial" w:ascii="Arial" w:hAnsi="Arial"/>
          <w:sz w:val="16"/>
          <w:szCs w:val="16"/>
        </w:rPr>
      </w:pPr>
      <w:r>
        <w:rPr>
          <w:rFonts w:cs="Arial" w:ascii="Arial" w:hAnsi="Arial"/>
          <w:sz w:val="16"/>
          <w:szCs w:val="16"/>
        </w:rPr>
        <w:t>Calculate the current amount of collateral available for pledging at the FHLB or Federal Reserve Bank</w:t>
      </w:r>
    </w:p>
    <w:p>
      <w:pPr>
        <w:pStyle w:val="ListParagraph"/>
        <w:numPr>
          <w:ilvl w:val="0"/>
          <w:numId w:val="9"/>
        </w:numPr>
        <w:spacing w:lineRule="auto" w:line="360" w:before="0" w:after="0"/>
        <w:rPr>
          <w:rFonts w:cs="Arial" w:ascii="Arial" w:hAnsi="Arial"/>
          <w:sz w:val="16"/>
          <w:szCs w:val="16"/>
        </w:rPr>
      </w:pPr>
      <w:r>
        <w:rPr>
          <w:rFonts w:cs="Arial" w:ascii="Arial" w:hAnsi="Arial"/>
          <w:sz w:val="16"/>
          <w:szCs w:val="16"/>
        </w:rPr>
        <w:t>Establish a policy for premium pricing of deposits, if necessary, consistent with the rules governing brokered deposits</w:t>
      </w:r>
    </w:p>
    <w:p>
      <w:pPr>
        <w:pStyle w:val="Heading2"/>
        <w:spacing w:lineRule="auto" w:line="360"/>
        <w:rPr>
          <w:rFonts w:ascii="Arial" w:hAnsi="Arial"/>
          <w:sz w:val="16"/>
          <w:szCs w:val="16"/>
        </w:rPr>
      </w:pPr>
      <w:bookmarkStart w:id="26" w:name="_Toc285613963"/>
      <w:bookmarkEnd w:id="26"/>
      <w:r>
        <w:rPr>
          <w:rFonts w:ascii="Arial" w:hAnsi="Arial"/>
          <w:sz w:val="16"/>
          <w:szCs w:val="16"/>
        </w:rPr>
        <w:t>Long-Term Crises</w:t>
      </w:r>
    </w:p>
    <w:p>
      <w:pPr>
        <w:pStyle w:val="Normal"/>
        <w:spacing w:lineRule="auto" w:line="360" w:before="0" w:after="0"/>
        <w:rPr>
          <w:rFonts w:cs="Arial" w:ascii="Arial" w:hAnsi="Arial"/>
          <w:sz w:val="16"/>
          <w:szCs w:val="16"/>
        </w:rPr>
      </w:pPr>
      <w:r>
        <w:rPr>
          <w:rFonts w:cs="Arial" w:ascii="Arial" w:hAnsi="Arial"/>
          <w:sz w:val="16"/>
          <w:szCs w:val="16"/>
        </w:rPr>
        <w:t>Long-term crises may revolve around significant loan or investment losses that might lead to loss of PCA well-capitalized status. This long-term risk could be part of a larger industry-wide problem and we recognize that funding ourselves in that scenario could be much more difficult to obtain.</w:t>
      </w:r>
    </w:p>
    <w:p>
      <w:pPr>
        <w:pStyle w:val="Normal"/>
        <w:spacing w:lineRule="auto" w:line="360" w:before="0" w:after="0"/>
        <w:rPr>
          <w:rFonts w:cs="Arial" w:ascii="Arial" w:hAnsi="Arial"/>
          <w:sz w:val="16"/>
          <w:szCs w:val="16"/>
        </w:rPr>
      </w:pPr>
      <w:r>
        <w:rPr>
          <w:rFonts w:cs="Arial" w:ascii="Arial" w:hAnsi="Arial"/>
          <w:sz w:val="16"/>
          <w:szCs w:val="16"/>
        </w:rPr>
      </w:r>
    </w:p>
    <w:p>
      <w:pPr>
        <w:pStyle w:val="Normal"/>
        <w:spacing w:lineRule="auto" w:line="360" w:before="0" w:after="0"/>
        <w:rPr>
          <w:rFonts w:cs="Arial" w:ascii="Arial" w:hAnsi="Arial"/>
          <w:sz w:val="16"/>
          <w:szCs w:val="16"/>
        </w:rPr>
      </w:pPr>
      <w:r>
        <w:rPr>
          <w:rFonts w:cs="Arial" w:ascii="Arial" w:hAnsi="Arial"/>
          <w:sz w:val="16"/>
          <w:szCs w:val="16"/>
        </w:rPr>
        <w:t xml:space="preserve">Appendix A contains the results of the most recent annual stress test review and fully documents the assumptions and methodology used in the stress tests. This document will be reviewed and updated on an annual basis as part of the business planning process. </w:t>
      </w:r>
    </w:p>
    <w:p>
      <w:pPr>
        <w:pStyle w:val="Normal"/>
        <w:spacing w:lineRule="auto" w:line="360" w:before="0" w:after="0"/>
        <w:rPr>
          <w:rFonts w:cs="Arial" w:ascii="Arial" w:hAnsi="Arial"/>
          <w:sz w:val="16"/>
          <w:szCs w:val="16"/>
        </w:rPr>
      </w:pPr>
      <w:r>
        <w:rPr>
          <w:rFonts w:cs="Arial" w:ascii="Arial" w:hAnsi="Arial"/>
          <w:sz w:val="16"/>
          <w:szCs w:val="16"/>
        </w:rPr>
      </w:r>
    </w:p>
    <w:p>
      <w:pPr>
        <w:pStyle w:val="Normal"/>
        <w:spacing w:lineRule="auto" w:line="360" w:before="0" w:after="0"/>
        <w:rPr>
          <w:rFonts w:cs="Arial" w:ascii="Arial" w:hAnsi="Arial"/>
          <w:sz w:val="16"/>
          <w:szCs w:val="16"/>
        </w:rPr>
      </w:pPr>
      <w:r>
        <w:rPr>
          <w:rFonts w:cs="Arial" w:ascii="Arial" w:hAnsi="Arial"/>
          <w:sz w:val="16"/>
          <w:szCs w:val="16"/>
        </w:rPr>
        <w:t>As part of its quarterly ALCO review, XYZ will run a capital failure stress test. This kind of event would potentially remove several normal funding sources. Therefore, management’s focus would be on continually managing XYZ’s balance sheet to ensure that there are adequate levels of stable funding to support those assets requiring support from stable funding as measured by the Net Sources and Uses Ratio stress tests.</w:t>
      </w:r>
    </w:p>
    <w:p>
      <w:pPr>
        <w:pStyle w:val="Normal"/>
        <w:spacing w:lineRule="auto" w:line="360" w:before="0" w:after="0"/>
        <w:rPr>
          <w:rFonts w:cs="Arial" w:ascii="Arial" w:hAnsi="Arial"/>
          <w:sz w:val="16"/>
          <w:szCs w:val="16"/>
        </w:rPr>
      </w:pPr>
      <w:r>
        <w:rPr>
          <w:rFonts w:cs="Arial" w:ascii="Arial" w:hAnsi="Arial"/>
          <w:sz w:val="16"/>
          <w:szCs w:val="16"/>
        </w:rPr>
      </w:r>
    </w:p>
    <w:p>
      <w:pPr>
        <w:pStyle w:val="Normal"/>
        <w:spacing w:lineRule="auto" w:line="360" w:before="0" w:after="0"/>
        <w:rPr>
          <w:rFonts w:cs="Arial" w:ascii="Arial" w:hAnsi="Arial"/>
          <w:sz w:val="16"/>
          <w:szCs w:val="16"/>
        </w:rPr>
      </w:pPr>
      <w:r>
        <w:rPr>
          <w:rFonts w:cs="Arial" w:ascii="Arial" w:hAnsi="Arial"/>
          <w:sz w:val="16"/>
          <w:szCs w:val="16"/>
        </w:rPr>
        <w:t>In addition, should XYZ find itself in a long-term crisis it will consider the following additional sources of funding:</w:t>
      </w:r>
    </w:p>
    <w:p>
      <w:pPr>
        <w:pStyle w:val="ListParagraph"/>
        <w:numPr>
          <w:ilvl w:val="0"/>
          <w:numId w:val="10"/>
        </w:numPr>
        <w:spacing w:lineRule="auto" w:line="360" w:before="0" w:after="0"/>
        <w:rPr>
          <w:rFonts w:cs="Arial" w:ascii="Arial" w:hAnsi="Arial"/>
          <w:sz w:val="16"/>
          <w:szCs w:val="16"/>
        </w:rPr>
      </w:pPr>
      <w:r>
        <w:rPr>
          <w:rFonts w:cs="Arial" w:ascii="Arial" w:hAnsi="Arial"/>
          <w:sz w:val="16"/>
          <w:szCs w:val="16"/>
        </w:rPr>
        <w:t>Deposit gathering, FHLB advances and the Federal Reserve discount window</w:t>
      </w:r>
    </w:p>
    <w:p>
      <w:pPr>
        <w:pStyle w:val="ListParagraph"/>
        <w:numPr>
          <w:ilvl w:val="0"/>
          <w:numId w:val="10"/>
        </w:numPr>
        <w:spacing w:lineRule="auto" w:line="360" w:before="0" w:after="0"/>
        <w:rPr>
          <w:rFonts w:cs="Arial" w:ascii="Arial" w:hAnsi="Arial"/>
          <w:sz w:val="16"/>
          <w:szCs w:val="16"/>
        </w:rPr>
      </w:pPr>
      <w:r>
        <w:rPr>
          <w:rFonts w:cs="Arial" w:ascii="Arial" w:hAnsi="Arial"/>
          <w:sz w:val="16"/>
          <w:szCs w:val="16"/>
        </w:rPr>
        <w:t>Reduce the target cash balance at Correspondent Bank</w:t>
      </w:r>
    </w:p>
    <w:p>
      <w:pPr>
        <w:pStyle w:val="ListParagraph"/>
        <w:numPr>
          <w:ilvl w:val="0"/>
          <w:numId w:val="10"/>
        </w:numPr>
        <w:spacing w:lineRule="auto" w:line="360" w:before="0" w:after="0"/>
        <w:rPr>
          <w:rFonts w:cs="Arial" w:ascii="Arial" w:hAnsi="Arial"/>
          <w:sz w:val="16"/>
          <w:szCs w:val="16"/>
        </w:rPr>
      </w:pPr>
      <w:r>
        <w:rPr>
          <w:rFonts w:cs="Arial" w:ascii="Arial" w:hAnsi="Arial"/>
          <w:sz w:val="16"/>
          <w:szCs w:val="16"/>
        </w:rPr>
        <w:t>Roll maturing investments into Fed Funds Sold</w:t>
      </w:r>
    </w:p>
    <w:p>
      <w:pPr>
        <w:pStyle w:val="ListParagraph"/>
        <w:numPr>
          <w:ilvl w:val="0"/>
          <w:numId w:val="10"/>
        </w:numPr>
        <w:spacing w:lineRule="auto" w:line="360" w:before="0" w:after="0"/>
        <w:rPr>
          <w:rFonts w:cs="Arial" w:ascii="Arial" w:hAnsi="Arial"/>
          <w:sz w:val="16"/>
          <w:szCs w:val="16"/>
        </w:rPr>
      </w:pPr>
      <w:r>
        <w:rPr>
          <w:rFonts w:cs="Arial" w:ascii="Arial" w:hAnsi="Arial"/>
          <w:sz w:val="16"/>
          <w:szCs w:val="16"/>
        </w:rPr>
        <w:t>Liquidation of securities and the sale of loans; decision based on the expected losses created by such a sale</w:t>
      </w:r>
    </w:p>
    <w:p>
      <w:pPr>
        <w:pStyle w:val="ListParagraph"/>
        <w:numPr>
          <w:ilvl w:val="0"/>
          <w:numId w:val="10"/>
        </w:numPr>
        <w:spacing w:lineRule="auto" w:line="360" w:before="0" w:after="0"/>
        <w:rPr>
          <w:rFonts w:cs="Arial" w:ascii="Arial" w:hAnsi="Arial"/>
          <w:sz w:val="16"/>
          <w:szCs w:val="16"/>
        </w:rPr>
      </w:pPr>
      <w:r>
        <w:rPr>
          <w:rFonts w:cs="Arial" w:ascii="Arial" w:hAnsi="Arial"/>
          <w:sz w:val="16"/>
          <w:szCs w:val="16"/>
        </w:rPr>
        <w:t>If base sources of Non-Core Funding are cut off or restricted with higher collateral haircuts, make use of contingent funding sources</w:t>
      </w:r>
    </w:p>
    <w:p>
      <w:pPr>
        <w:pStyle w:val="ListParagraph"/>
        <w:numPr>
          <w:ilvl w:val="0"/>
          <w:numId w:val="10"/>
        </w:numPr>
        <w:spacing w:lineRule="auto" w:line="360" w:before="0" w:after="0"/>
        <w:rPr>
          <w:rFonts w:cs="Arial" w:ascii="Arial" w:hAnsi="Arial"/>
          <w:sz w:val="16"/>
          <w:szCs w:val="16"/>
        </w:rPr>
      </w:pPr>
      <w:r>
        <w:rPr>
          <w:rFonts w:cs="Arial" w:ascii="Arial" w:hAnsi="Arial"/>
          <w:sz w:val="16"/>
          <w:szCs w:val="16"/>
        </w:rPr>
        <w:t>Identify the amount of unused credit commitments which could be activated in the next 90 days</w:t>
      </w:r>
    </w:p>
    <w:p>
      <w:pPr>
        <w:pStyle w:val="ListParagraph"/>
        <w:numPr>
          <w:ilvl w:val="0"/>
          <w:numId w:val="10"/>
        </w:numPr>
        <w:spacing w:lineRule="auto" w:line="360" w:before="0" w:after="0"/>
        <w:rPr>
          <w:rFonts w:cs="Arial" w:ascii="Arial" w:hAnsi="Arial"/>
          <w:sz w:val="16"/>
          <w:szCs w:val="16"/>
        </w:rPr>
      </w:pPr>
      <w:r>
        <w:rPr>
          <w:rFonts w:cs="Arial" w:ascii="Arial" w:hAnsi="Arial"/>
          <w:sz w:val="16"/>
          <w:szCs w:val="16"/>
        </w:rPr>
        <w:t>Use of funding sources like CDARS to reduce collateral pledging requirements and to offer access to insurance on large CDs</w:t>
      </w:r>
    </w:p>
    <w:p>
      <w:pPr>
        <w:pStyle w:val="ListParagraph"/>
        <w:numPr>
          <w:ilvl w:val="0"/>
          <w:numId w:val="10"/>
        </w:numPr>
        <w:spacing w:lineRule="auto" w:line="360" w:before="0" w:after="0"/>
        <w:rPr>
          <w:rFonts w:cs="Arial" w:ascii="Arial" w:hAnsi="Arial"/>
          <w:sz w:val="16"/>
          <w:szCs w:val="16"/>
        </w:rPr>
      </w:pPr>
      <w:r>
        <w:rPr>
          <w:rFonts w:cs="Arial" w:ascii="Arial" w:hAnsi="Arial"/>
          <w:sz w:val="16"/>
          <w:szCs w:val="16"/>
        </w:rPr>
        <w:t>Suspend lending activity as needed</w:t>
      </w:r>
    </w:p>
    <w:p>
      <w:pPr>
        <w:pStyle w:val="Heading2"/>
        <w:spacing w:lineRule="auto" w:line="360"/>
        <w:rPr>
          <w:rFonts w:ascii="Arial" w:hAnsi="Arial"/>
          <w:sz w:val="16"/>
          <w:szCs w:val="16"/>
        </w:rPr>
      </w:pPr>
      <w:bookmarkStart w:id="27" w:name="_Toc285613964"/>
      <w:bookmarkEnd w:id="27"/>
      <w:r>
        <w:rPr>
          <w:rFonts w:ascii="Arial" w:hAnsi="Arial"/>
          <w:sz w:val="16"/>
          <w:szCs w:val="16"/>
        </w:rPr>
        <w:t>Stress Test Evaluation</w:t>
      </w:r>
    </w:p>
    <w:p>
      <w:pPr>
        <w:pStyle w:val="Normal"/>
        <w:keepNext/>
        <w:spacing w:lineRule="auto" w:line="360"/>
        <w:rPr>
          <w:rFonts w:cs="Arial" w:ascii="Arial" w:hAnsi="Arial"/>
          <w:sz w:val="16"/>
          <w:szCs w:val="16"/>
        </w:rPr>
      </w:pPr>
      <w:r>
        <w:rPr>
          <w:rFonts w:cs="Arial" w:ascii="Arial" w:hAnsi="Arial"/>
          <w:sz w:val="16"/>
          <w:szCs w:val="16"/>
        </w:rPr>
        <w:t>While liquidity stress tests will be run in conjunction with interest rate risk testing at the frequency spelled out earlier in the document, the detailed plan for dealing with this scenario will normally be updated annually. However, should XYZ fall into the yellow light range on the following threat level guidelines for the one-year cumulative liquidity gap/asset ratio, updates of CFP Strategies will be moved to quarterly.</w:t>
      </w:r>
    </w:p>
    <w:tbl>
      <w:tblPr>
        <w:jc w:val="left"/>
        <w:tblInd w:w="0" w:type="dxa"/>
        <w:tblBorders>
          <w:top w:val="single" w:sz="8" w:space="0" w:color="000001"/>
          <w:left w:val="single" w:sz="8" w:space="0" w:color="000001"/>
          <w:bottom w:val="single" w:sz="8" w:space="0" w:color="000001"/>
          <w:insideH w:val="single" w:sz="8" w:space="0" w:color="000001"/>
          <w:right w:val="single" w:sz="8" w:space="0" w:color="000001"/>
          <w:insideV w:val="single" w:sz="8" w:space="0" w:color="000001"/>
        </w:tblBorders>
        <w:tblCellMar>
          <w:top w:w="0" w:type="dxa"/>
          <w:left w:w="107" w:type="dxa"/>
          <w:bottom w:w="0" w:type="dxa"/>
          <w:right w:w="108" w:type="dxa"/>
        </w:tblCellMar>
      </w:tblPr>
      <w:tblGrid>
        <w:gridCol w:w="2267"/>
        <w:gridCol w:w="4117"/>
        <w:gridCol w:w="3192"/>
      </w:tblGrid>
      <w:tr>
        <w:trPr>
          <w:trHeight w:val="647" w:hRule="atLeast"/>
          <w:cantSplit w:val="false"/>
        </w:trPr>
        <w:tc>
          <w:tcPr>
            <w:tcW w:w="2267" w:type="dxa"/>
            <w:tcBorders>
              <w:top w:val="single" w:sz="8" w:space="0" w:color="000001"/>
              <w:left w:val="single" w:sz="8" w:space="0" w:color="000001"/>
              <w:bottom w:val="single" w:sz="8" w:space="0" w:color="000001"/>
              <w:insideH w:val="single" w:sz="8" w:space="0" w:color="000001"/>
              <w:right w:val="single" w:sz="8" w:space="0" w:color="000001"/>
              <w:insideV w:val="single" w:sz="8" w:space="0" w:color="000001"/>
            </w:tcBorders>
            <w:shd w:fill="auto" w:val="clear"/>
            <w:tcMar>
              <w:left w:w="107" w:type="dxa"/>
            </w:tcMar>
            <w:vAlign w:val="center"/>
          </w:tcPr>
          <w:p>
            <w:pPr>
              <w:pStyle w:val="Normal"/>
              <w:spacing w:lineRule="auto" w:line="360" w:before="120" w:after="200"/>
              <w:jc w:val="center"/>
              <w:rPr>
                <w:rFonts w:cs="Arial" w:ascii="Arial" w:hAnsi="Arial"/>
                <w:b/>
                <w:sz w:val="16"/>
                <w:szCs w:val="16"/>
              </w:rPr>
            </w:pPr>
            <w:r>
              <w:rPr>
                <w:rFonts w:cs="Arial" w:ascii="Arial" w:hAnsi="Arial"/>
                <w:b/>
                <w:sz w:val="16"/>
                <w:szCs w:val="16"/>
              </w:rPr>
              <w:t>12 Month Liquidity Gap/Asset Ratio</w:t>
            </w:r>
          </w:p>
        </w:tc>
        <w:tc>
          <w:tcPr>
            <w:tcW w:w="4117" w:type="dxa"/>
            <w:tcBorders>
              <w:top w:val="single" w:sz="8" w:space="0" w:color="000001"/>
              <w:left w:val="single" w:sz="8" w:space="0" w:color="000001"/>
              <w:bottom w:val="single" w:sz="8" w:space="0" w:color="000001"/>
              <w:insideH w:val="single" w:sz="8" w:space="0" w:color="000001"/>
              <w:right w:val="single" w:sz="8" w:space="0" w:color="000001"/>
              <w:insideV w:val="single" w:sz="8" w:space="0" w:color="000001"/>
            </w:tcBorders>
            <w:shd w:fill="auto" w:val="clear"/>
            <w:tcMar>
              <w:left w:w="107" w:type="dxa"/>
            </w:tcMar>
            <w:vAlign w:val="center"/>
          </w:tcPr>
          <w:p>
            <w:pPr>
              <w:pStyle w:val="Normal"/>
              <w:spacing w:lineRule="auto" w:line="360" w:before="120" w:after="200"/>
              <w:jc w:val="center"/>
              <w:rPr>
                <w:rFonts w:cs="Arial" w:ascii="Arial" w:hAnsi="Arial"/>
                <w:b/>
                <w:sz w:val="16"/>
                <w:szCs w:val="16"/>
              </w:rPr>
            </w:pPr>
            <w:r>
              <w:rPr>
                <w:rFonts w:cs="Arial" w:ascii="Arial" w:hAnsi="Arial"/>
                <w:b/>
                <w:sz w:val="16"/>
                <w:szCs w:val="16"/>
              </w:rPr>
              <w:t>Threat Level</w:t>
            </w:r>
          </w:p>
        </w:tc>
        <w:tc>
          <w:tcPr>
            <w:tcW w:w="3192" w:type="dxa"/>
            <w:tcBorders>
              <w:top w:val="single" w:sz="8" w:space="0" w:color="000001"/>
              <w:left w:val="single" w:sz="8" w:space="0" w:color="000001"/>
              <w:bottom w:val="single" w:sz="8" w:space="0" w:color="000001"/>
              <w:insideH w:val="single" w:sz="8" w:space="0" w:color="000001"/>
              <w:right w:val="single" w:sz="8" w:space="0" w:color="000001"/>
              <w:insideV w:val="single" w:sz="8" w:space="0" w:color="000001"/>
            </w:tcBorders>
            <w:shd w:fill="auto" w:val="clear"/>
            <w:tcMar>
              <w:left w:w="107" w:type="dxa"/>
            </w:tcMar>
            <w:vAlign w:val="center"/>
          </w:tcPr>
          <w:p>
            <w:pPr>
              <w:pStyle w:val="Normal"/>
              <w:spacing w:lineRule="auto" w:line="360" w:before="120" w:after="200"/>
              <w:jc w:val="center"/>
              <w:rPr>
                <w:rFonts w:cs="Arial" w:ascii="Arial" w:hAnsi="Arial"/>
                <w:b/>
                <w:sz w:val="16"/>
                <w:szCs w:val="16"/>
              </w:rPr>
            </w:pPr>
            <w:r>
              <w:rPr>
                <w:rFonts w:cs="Arial" w:ascii="Arial" w:hAnsi="Arial"/>
                <w:b/>
                <w:sz w:val="16"/>
                <w:szCs w:val="16"/>
              </w:rPr>
              <w:t>Actions</w:t>
            </w:r>
          </w:p>
        </w:tc>
      </w:tr>
      <w:tr>
        <w:trPr>
          <w:trHeight w:val="548" w:hRule="atLeast"/>
          <w:cantSplit w:val="false"/>
        </w:trPr>
        <w:tc>
          <w:tcPr>
            <w:tcW w:w="2267" w:type="dxa"/>
            <w:tcBorders>
              <w:top w:val="single" w:sz="8" w:space="0" w:color="000001"/>
              <w:left w:val="single" w:sz="8" w:space="0" w:color="000001"/>
              <w:bottom w:val="single" w:sz="8" w:space="0" w:color="000001"/>
              <w:insideH w:val="single" w:sz="8" w:space="0" w:color="000001"/>
              <w:right w:val="single" w:sz="8" w:space="0" w:color="000001"/>
              <w:insideV w:val="single" w:sz="8" w:space="0" w:color="000001"/>
            </w:tcBorders>
            <w:shd w:fill="auto" w:val="clear"/>
            <w:tcMar>
              <w:left w:w="107" w:type="dxa"/>
            </w:tcMar>
            <w:vAlign w:val="center"/>
          </w:tcPr>
          <w:p>
            <w:pPr>
              <w:pStyle w:val="Normal"/>
              <w:spacing w:lineRule="auto" w:line="360" w:before="120" w:after="200"/>
              <w:jc w:val="center"/>
              <w:rPr>
                <w:rFonts w:cs="Arial" w:ascii="Arial" w:hAnsi="Arial"/>
                <w:sz w:val="16"/>
                <w:szCs w:val="16"/>
              </w:rPr>
            </w:pPr>
            <w:r>
              <w:rPr>
                <w:rFonts w:cs="Arial" w:ascii="Arial" w:hAnsi="Arial"/>
                <w:sz w:val="16"/>
                <w:szCs w:val="16"/>
              </w:rPr>
              <w:t>&gt; 15%</w:t>
            </w:r>
          </w:p>
        </w:tc>
        <w:tc>
          <w:tcPr>
            <w:tcW w:w="4117" w:type="dxa"/>
            <w:tcBorders>
              <w:top w:val="single" w:sz="8" w:space="0" w:color="000001"/>
              <w:left w:val="single" w:sz="8" w:space="0" w:color="000001"/>
              <w:bottom w:val="single" w:sz="8" w:space="0" w:color="000001"/>
              <w:insideH w:val="single" w:sz="8" w:space="0" w:color="000001"/>
              <w:right w:val="single" w:sz="8" w:space="0" w:color="000001"/>
              <w:insideV w:val="single" w:sz="8" w:space="0" w:color="000001"/>
            </w:tcBorders>
            <w:shd w:fill="5AA080" w:val="clear"/>
            <w:tcMar>
              <w:left w:w="107" w:type="dxa"/>
            </w:tcMar>
            <w:vAlign w:val="center"/>
          </w:tcPr>
          <w:p>
            <w:pPr>
              <w:pStyle w:val="Normal"/>
              <w:spacing w:lineRule="auto" w:line="360" w:before="120" w:after="200"/>
              <w:jc w:val="center"/>
              <w:rPr>
                <w:rFonts w:cs="Arial" w:ascii="Arial" w:hAnsi="Arial"/>
                <w:color w:val="FFFFFF"/>
                <w:sz w:val="16"/>
                <w:szCs w:val="16"/>
              </w:rPr>
            </w:pPr>
            <w:r>
              <w:rPr>
                <w:rFonts w:cs="Arial" w:ascii="Arial" w:hAnsi="Arial"/>
                <w:color w:val="FFFFFF"/>
                <w:sz w:val="16"/>
                <w:szCs w:val="16"/>
              </w:rPr>
              <w:t>Green Light</w:t>
            </w:r>
          </w:p>
        </w:tc>
        <w:tc>
          <w:tcPr>
            <w:tcW w:w="3192" w:type="dxa"/>
            <w:tcBorders>
              <w:top w:val="single" w:sz="8" w:space="0" w:color="000001"/>
              <w:left w:val="single" w:sz="8" w:space="0" w:color="000001"/>
              <w:bottom w:val="single" w:sz="8" w:space="0" w:color="000001"/>
              <w:insideH w:val="single" w:sz="8" w:space="0" w:color="000001"/>
              <w:right w:val="single" w:sz="8" w:space="0" w:color="000001"/>
              <w:insideV w:val="single" w:sz="8" w:space="0" w:color="000001"/>
            </w:tcBorders>
            <w:shd w:fill="auto" w:val="clear"/>
            <w:tcMar>
              <w:left w:w="107" w:type="dxa"/>
            </w:tcMar>
            <w:vAlign w:val="center"/>
          </w:tcPr>
          <w:p>
            <w:pPr>
              <w:pStyle w:val="Normal"/>
              <w:spacing w:lineRule="auto" w:line="360" w:before="120" w:after="200"/>
              <w:rPr>
                <w:rFonts w:cs="Arial" w:ascii="Arial" w:hAnsi="Arial"/>
                <w:sz w:val="16"/>
                <w:szCs w:val="16"/>
              </w:rPr>
            </w:pPr>
            <w:r>
              <w:rPr>
                <w:rFonts w:cs="Arial" w:ascii="Arial" w:hAnsi="Arial"/>
                <w:sz w:val="16"/>
                <w:szCs w:val="16"/>
              </w:rPr>
              <w:t>No actions required; continue normal monitoring and reporting.</w:t>
            </w:r>
          </w:p>
        </w:tc>
      </w:tr>
      <w:tr>
        <w:trPr>
          <w:trHeight w:val="782" w:hRule="atLeast"/>
          <w:cantSplit w:val="false"/>
        </w:trPr>
        <w:tc>
          <w:tcPr>
            <w:tcW w:w="2267" w:type="dxa"/>
            <w:tcBorders>
              <w:top w:val="single" w:sz="8" w:space="0" w:color="000001"/>
              <w:left w:val="single" w:sz="8" w:space="0" w:color="000001"/>
              <w:bottom w:val="single" w:sz="8" w:space="0" w:color="000001"/>
              <w:insideH w:val="single" w:sz="8" w:space="0" w:color="000001"/>
              <w:right w:val="single" w:sz="8" w:space="0" w:color="000001"/>
              <w:insideV w:val="single" w:sz="8" w:space="0" w:color="000001"/>
            </w:tcBorders>
            <w:shd w:fill="auto" w:val="clear"/>
            <w:tcMar>
              <w:left w:w="107" w:type="dxa"/>
            </w:tcMar>
            <w:vAlign w:val="center"/>
          </w:tcPr>
          <w:p>
            <w:pPr>
              <w:pStyle w:val="Normal"/>
              <w:spacing w:lineRule="auto" w:line="360" w:before="120" w:after="200"/>
              <w:jc w:val="center"/>
              <w:rPr>
                <w:rFonts w:cs="Arial" w:ascii="Arial" w:hAnsi="Arial"/>
                <w:sz w:val="16"/>
                <w:szCs w:val="16"/>
              </w:rPr>
            </w:pPr>
            <w:r>
              <w:rPr>
                <w:rFonts w:cs="Arial" w:ascii="Arial" w:hAnsi="Arial"/>
                <w:sz w:val="16"/>
                <w:szCs w:val="16"/>
              </w:rPr>
              <w:t>10% - 15%</w:t>
            </w:r>
          </w:p>
        </w:tc>
        <w:tc>
          <w:tcPr>
            <w:tcW w:w="4117" w:type="dxa"/>
            <w:tcBorders>
              <w:top w:val="single" w:sz="8" w:space="0" w:color="000001"/>
              <w:left w:val="single" w:sz="8" w:space="0" w:color="000001"/>
              <w:bottom w:val="single" w:sz="8" w:space="0" w:color="000001"/>
              <w:insideH w:val="single" w:sz="8" w:space="0" w:color="000001"/>
              <w:right w:val="single" w:sz="8" w:space="0" w:color="000001"/>
              <w:insideV w:val="single" w:sz="8" w:space="0" w:color="000001"/>
            </w:tcBorders>
            <w:shd w:fill="E9D55D" w:val="clear"/>
            <w:tcMar>
              <w:left w:w="107" w:type="dxa"/>
            </w:tcMar>
            <w:vAlign w:val="center"/>
          </w:tcPr>
          <w:p>
            <w:pPr>
              <w:pStyle w:val="Normal"/>
              <w:spacing w:lineRule="auto" w:line="360" w:before="120" w:after="200"/>
              <w:jc w:val="center"/>
              <w:rPr>
                <w:rFonts w:cs="Arial" w:ascii="Arial" w:hAnsi="Arial"/>
                <w:sz w:val="16"/>
                <w:szCs w:val="16"/>
              </w:rPr>
            </w:pPr>
            <w:r>
              <w:rPr>
                <w:rFonts w:cs="Arial" w:ascii="Arial" w:hAnsi="Arial"/>
                <w:sz w:val="16"/>
                <w:szCs w:val="16"/>
              </w:rPr>
              <w:t>Yellow Light</w:t>
            </w:r>
          </w:p>
        </w:tc>
        <w:tc>
          <w:tcPr>
            <w:tcW w:w="3192" w:type="dxa"/>
            <w:tcBorders>
              <w:top w:val="single" w:sz="8" w:space="0" w:color="000001"/>
              <w:left w:val="single" w:sz="8" w:space="0" w:color="000001"/>
              <w:bottom w:val="single" w:sz="8" w:space="0" w:color="000001"/>
              <w:insideH w:val="single" w:sz="8" w:space="0" w:color="000001"/>
              <w:right w:val="single" w:sz="8" w:space="0" w:color="000001"/>
              <w:insideV w:val="single" w:sz="8" w:space="0" w:color="000001"/>
            </w:tcBorders>
            <w:shd w:fill="auto" w:val="clear"/>
            <w:tcMar>
              <w:left w:w="107" w:type="dxa"/>
            </w:tcMar>
            <w:vAlign w:val="center"/>
          </w:tcPr>
          <w:p>
            <w:pPr>
              <w:pStyle w:val="Normal"/>
              <w:spacing w:lineRule="auto" w:line="360" w:before="120" w:after="200"/>
              <w:rPr>
                <w:rFonts w:cs="Arial" w:ascii="Arial" w:hAnsi="Arial"/>
                <w:sz w:val="16"/>
                <w:szCs w:val="16"/>
              </w:rPr>
            </w:pPr>
            <w:r>
              <w:rPr>
                <w:rFonts w:cs="Arial" w:ascii="Arial" w:hAnsi="Arial"/>
                <w:sz w:val="16"/>
                <w:szCs w:val="16"/>
              </w:rPr>
              <w:t>Develop options for asset or liability changes to return to green within 6 months.</w:t>
            </w:r>
          </w:p>
        </w:tc>
      </w:tr>
      <w:tr>
        <w:trPr>
          <w:trHeight w:val="1178" w:hRule="atLeast"/>
          <w:cantSplit w:val="false"/>
        </w:trPr>
        <w:tc>
          <w:tcPr>
            <w:tcW w:w="2267" w:type="dxa"/>
            <w:tcBorders>
              <w:top w:val="single" w:sz="8" w:space="0" w:color="000001"/>
              <w:left w:val="single" w:sz="8" w:space="0" w:color="000001"/>
              <w:bottom w:val="single" w:sz="8" w:space="0" w:color="000001"/>
              <w:insideH w:val="single" w:sz="8" w:space="0" w:color="000001"/>
              <w:right w:val="single" w:sz="8" w:space="0" w:color="000001"/>
              <w:insideV w:val="single" w:sz="8" w:space="0" w:color="000001"/>
            </w:tcBorders>
            <w:shd w:fill="auto" w:val="clear"/>
            <w:tcMar>
              <w:left w:w="107" w:type="dxa"/>
            </w:tcMar>
            <w:vAlign w:val="center"/>
          </w:tcPr>
          <w:p>
            <w:pPr>
              <w:pStyle w:val="Normal"/>
              <w:spacing w:lineRule="auto" w:line="360" w:before="120" w:after="200"/>
              <w:jc w:val="center"/>
              <w:rPr>
                <w:rFonts w:cs="Arial" w:ascii="Arial" w:hAnsi="Arial"/>
                <w:sz w:val="16"/>
                <w:szCs w:val="16"/>
              </w:rPr>
            </w:pPr>
            <w:r>
              <w:rPr>
                <w:rFonts w:cs="Arial" w:ascii="Arial" w:hAnsi="Arial"/>
                <w:sz w:val="16"/>
                <w:szCs w:val="16"/>
              </w:rPr>
              <w:t>&lt; 10%</w:t>
            </w:r>
          </w:p>
        </w:tc>
        <w:tc>
          <w:tcPr>
            <w:tcW w:w="4117" w:type="dxa"/>
            <w:tcBorders>
              <w:top w:val="single" w:sz="8" w:space="0" w:color="000001"/>
              <w:left w:val="single" w:sz="8" w:space="0" w:color="000001"/>
              <w:bottom w:val="single" w:sz="8" w:space="0" w:color="000001"/>
              <w:insideH w:val="single" w:sz="8" w:space="0" w:color="000001"/>
              <w:right w:val="single" w:sz="8" w:space="0" w:color="000001"/>
              <w:insideV w:val="single" w:sz="8" w:space="0" w:color="000001"/>
            </w:tcBorders>
            <w:shd w:fill="AA0606" w:val="clear"/>
            <w:tcMar>
              <w:left w:w="107" w:type="dxa"/>
            </w:tcMar>
            <w:vAlign w:val="center"/>
          </w:tcPr>
          <w:p>
            <w:pPr>
              <w:pStyle w:val="Normal"/>
              <w:spacing w:lineRule="auto" w:line="360" w:before="120" w:after="200"/>
              <w:jc w:val="center"/>
              <w:rPr>
                <w:rFonts w:cs="Arial" w:ascii="Arial" w:hAnsi="Arial"/>
                <w:sz w:val="16"/>
                <w:szCs w:val="16"/>
              </w:rPr>
            </w:pPr>
            <w:r>
              <w:rPr>
                <w:rFonts w:cs="Arial" w:ascii="Arial" w:hAnsi="Arial"/>
                <w:sz w:val="16"/>
                <w:szCs w:val="16"/>
              </w:rPr>
              <w:t>Red Light</w:t>
            </w:r>
          </w:p>
        </w:tc>
        <w:tc>
          <w:tcPr>
            <w:tcW w:w="3192" w:type="dxa"/>
            <w:tcBorders>
              <w:top w:val="single" w:sz="8" w:space="0" w:color="000001"/>
              <w:left w:val="single" w:sz="8" w:space="0" w:color="000001"/>
              <w:bottom w:val="single" w:sz="8" w:space="0" w:color="000001"/>
              <w:insideH w:val="single" w:sz="8" w:space="0" w:color="000001"/>
              <w:right w:val="single" w:sz="8" w:space="0" w:color="000001"/>
              <w:insideV w:val="single" w:sz="8" w:space="0" w:color="000001"/>
            </w:tcBorders>
            <w:shd w:fill="auto" w:val="clear"/>
            <w:tcMar>
              <w:left w:w="107" w:type="dxa"/>
            </w:tcMar>
            <w:vAlign w:val="center"/>
          </w:tcPr>
          <w:p>
            <w:pPr>
              <w:pStyle w:val="Normal"/>
              <w:keepNext/>
              <w:spacing w:lineRule="auto" w:line="360" w:before="120" w:after="200"/>
              <w:rPr>
                <w:rFonts w:cs="Arial" w:ascii="Arial" w:hAnsi="Arial"/>
                <w:sz w:val="16"/>
                <w:szCs w:val="16"/>
              </w:rPr>
            </w:pPr>
            <w:r>
              <w:rPr>
                <w:rFonts w:cs="Arial" w:ascii="Arial" w:hAnsi="Arial"/>
                <w:sz w:val="16"/>
                <w:szCs w:val="16"/>
              </w:rPr>
              <w:t>Implement immediate plan changes; assess impact of CFP for realistic stress events; Monitor monthly until return to yellow.</w:t>
            </w:r>
          </w:p>
        </w:tc>
      </w:tr>
    </w:tbl>
    <w:p>
      <w:pPr>
        <w:pStyle w:val="Normal"/>
        <w:spacing w:lineRule="auto" w:line="360"/>
        <w:rPr>
          <w:rFonts w:cs="Arial" w:ascii="Arial" w:hAnsi="Arial"/>
          <w:sz w:val="16"/>
          <w:szCs w:val="16"/>
        </w:rPr>
      </w:pPr>
      <w:r>
        <w:rPr>
          <w:rFonts w:cs="Arial" w:ascii="Arial" w:hAnsi="Arial"/>
          <w:sz w:val="16"/>
          <w:szCs w:val="16"/>
        </w:rPr>
      </w:r>
    </w:p>
    <w:p>
      <w:pPr>
        <w:pStyle w:val="Normal"/>
        <w:spacing w:lineRule="auto" w:line="360"/>
        <w:rPr>
          <w:rFonts w:cs="Arial" w:ascii="Arial" w:hAnsi="Arial"/>
          <w:sz w:val="16"/>
          <w:szCs w:val="16"/>
        </w:rPr>
      </w:pPr>
      <w:r>
        <w:rPr>
          <w:rFonts w:cs="Arial" w:ascii="Arial" w:hAnsi="Arial"/>
          <w:sz w:val="16"/>
          <w:szCs w:val="16"/>
        </w:rPr>
        <w:t>The above threat level guidelines also call for XYZ to make changes to the business strategy should they fall into the red light range on the stressed threat level guidelines.</w:t>
      </w:r>
    </w:p>
    <w:p>
      <w:pPr>
        <w:pStyle w:val="Heading1"/>
        <w:spacing w:lineRule="auto" w:line="360"/>
        <w:rPr>
          <w:rFonts w:ascii="Arial" w:hAnsi="Arial"/>
          <w:sz w:val="16"/>
          <w:szCs w:val="16"/>
        </w:rPr>
      </w:pPr>
      <w:bookmarkStart w:id="28" w:name="_Toc285613965"/>
      <w:bookmarkEnd w:id="28"/>
      <w:r>
        <w:rPr>
          <w:rFonts w:ascii="Arial" w:hAnsi="Arial"/>
          <w:sz w:val="16"/>
          <w:szCs w:val="16"/>
        </w:rPr>
        <w:t>Contingency Funding Plan Team</w:t>
      </w:r>
    </w:p>
    <w:p>
      <w:pPr>
        <w:pStyle w:val="Normal"/>
        <w:spacing w:lineRule="auto" w:line="360"/>
        <w:rPr>
          <w:rFonts w:cs="Arial" w:ascii="Arial" w:hAnsi="Arial"/>
          <w:sz w:val="16"/>
          <w:szCs w:val="16"/>
        </w:rPr>
      </w:pPr>
      <w:r>
        <w:rPr>
          <w:rFonts w:cs="Arial" w:ascii="Arial" w:hAnsi="Arial"/>
          <w:sz w:val="16"/>
          <w:szCs w:val="16"/>
        </w:rPr>
        <w:t>In the event of a liquidity crisis, we will activate our CFP Team. Our team has been selected based on the key roles we see as required in such an event. We believe that this event will create enhanced communication between our bank and several key constituents – our regulators, our shareholders, our Board, our clients, local media, and our funding source providers. Our team will include one Board member and is comprised of the following:</w:t>
      </w:r>
    </w:p>
    <w:p>
      <w:pPr>
        <w:pStyle w:val="Normal"/>
        <w:numPr>
          <w:ilvl w:val="0"/>
          <w:numId w:val="15"/>
        </w:numPr>
        <w:spacing w:lineRule="auto" w:line="360" w:before="0" w:after="0"/>
        <w:rPr>
          <w:rFonts w:cs="Arial" w:ascii="Arial" w:hAnsi="Arial"/>
          <w:sz w:val="16"/>
          <w:szCs w:val="16"/>
        </w:rPr>
      </w:pPr>
      <w:r>
        <w:rPr>
          <w:rFonts w:cs="Arial" w:ascii="Arial" w:hAnsi="Arial"/>
          <w:sz w:val="16"/>
          <w:szCs w:val="16"/>
        </w:rPr>
        <w:t>President and CEO – main constituents are our regulators, shareholders and clients.</w:t>
      </w:r>
    </w:p>
    <w:p>
      <w:pPr>
        <w:pStyle w:val="Normal"/>
        <w:numPr>
          <w:ilvl w:val="0"/>
          <w:numId w:val="15"/>
        </w:numPr>
        <w:spacing w:lineRule="auto" w:line="360" w:before="0" w:after="0"/>
        <w:rPr>
          <w:rFonts w:cs="Arial" w:ascii="Arial" w:hAnsi="Arial"/>
          <w:sz w:val="16"/>
          <w:szCs w:val="16"/>
        </w:rPr>
      </w:pPr>
      <w:r>
        <w:rPr>
          <w:rFonts w:cs="Arial" w:ascii="Arial" w:hAnsi="Arial"/>
          <w:sz w:val="16"/>
          <w:szCs w:val="16"/>
        </w:rPr>
        <w:t>Board Member – will keep our board of directors informed</w:t>
      </w:r>
    </w:p>
    <w:p>
      <w:pPr>
        <w:pStyle w:val="Normal"/>
        <w:numPr>
          <w:ilvl w:val="0"/>
          <w:numId w:val="15"/>
        </w:numPr>
        <w:spacing w:lineRule="auto" w:line="360" w:before="0" w:after="0"/>
        <w:rPr>
          <w:rFonts w:cs="Arial" w:ascii="Arial" w:hAnsi="Arial"/>
          <w:sz w:val="16"/>
          <w:szCs w:val="16"/>
        </w:rPr>
      </w:pPr>
      <w:r>
        <w:rPr>
          <w:rFonts w:cs="Arial" w:ascii="Arial" w:hAnsi="Arial"/>
          <w:sz w:val="16"/>
          <w:szCs w:val="16"/>
        </w:rPr>
        <w:t>CFO – will stay in contact with our funding sources and work with CEO and with regulators</w:t>
      </w:r>
    </w:p>
    <w:p>
      <w:pPr>
        <w:pStyle w:val="Normal"/>
        <w:numPr>
          <w:ilvl w:val="0"/>
          <w:numId w:val="15"/>
        </w:numPr>
        <w:spacing w:lineRule="auto" w:line="360" w:before="0" w:after="0"/>
        <w:rPr>
          <w:rFonts w:cs="Arial" w:ascii="Arial" w:hAnsi="Arial"/>
          <w:sz w:val="16"/>
          <w:szCs w:val="16"/>
        </w:rPr>
      </w:pPr>
      <w:r>
        <w:rPr>
          <w:rFonts w:cs="Arial" w:ascii="Arial" w:hAnsi="Arial"/>
          <w:sz w:val="16"/>
          <w:szCs w:val="16"/>
        </w:rPr>
        <w:t>Communications Director – will work with CEO on communications to shareholders, clients, and local media</w:t>
      </w:r>
    </w:p>
    <w:p>
      <w:pPr>
        <w:pStyle w:val="Normal"/>
        <w:numPr>
          <w:ilvl w:val="0"/>
          <w:numId w:val="15"/>
        </w:numPr>
        <w:spacing w:lineRule="auto" w:line="360" w:before="0" w:after="0"/>
        <w:rPr>
          <w:rFonts w:cs="Arial" w:ascii="Arial" w:hAnsi="Arial"/>
          <w:sz w:val="16"/>
          <w:szCs w:val="16"/>
        </w:rPr>
      </w:pPr>
      <w:r>
        <w:rPr>
          <w:rFonts w:cs="Arial" w:ascii="Arial" w:hAnsi="Arial"/>
          <w:sz w:val="16"/>
          <w:szCs w:val="16"/>
        </w:rPr>
        <w:t>Senior Credit Officer – will work with the team on all credit issues if that is the root cause of the liquidity event</w:t>
      </w:r>
    </w:p>
    <w:p>
      <w:pPr>
        <w:pStyle w:val="Normal"/>
        <w:spacing w:lineRule="auto" w:line="360" w:before="0" w:after="0"/>
        <w:ind w:left="360" w:right="0" w:hanging="0"/>
        <w:rPr>
          <w:rFonts w:cs="Arial" w:ascii="Arial" w:hAnsi="Arial"/>
          <w:sz w:val="16"/>
          <w:szCs w:val="16"/>
        </w:rPr>
      </w:pPr>
      <w:r>
        <w:rPr>
          <w:rFonts w:cs="Arial" w:ascii="Arial" w:hAnsi="Arial"/>
          <w:sz w:val="16"/>
          <w:szCs w:val="16"/>
        </w:rPr>
      </w:r>
    </w:p>
    <w:p>
      <w:pPr>
        <w:pStyle w:val="Normal"/>
        <w:spacing w:lineRule="auto" w:line="360"/>
        <w:rPr>
          <w:rFonts w:cs="Arial" w:ascii="Arial" w:hAnsi="Arial"/>
          <w:sz w:val="16"/>
          <w:szCs w:val="16"/>
        </w:rPr>
      </w:pPr>
      <w:r>
        <w:rPr>
          <w:rFonts w:cs="Arial" w:ascii="Arial" w:hAnsi="Arial"/>
          <w:sz w:val="16"/>
          <w:szCs w:val="16"/>
        </w:rPr>
        <w:t>This team will also be responsible for communicating with our own staff on a regular and consistent basis so long as the crisis is on-going.</w:t>
      </w:r>
    </w:p>
    <w:p>
      <w:pPr>
        <w:pStyle w:val="Normal"/>
        <w:spacing w:lineRule="auto" w:line="360"/>
        <w:rPr>
          <w:rFonts w:ascii="Arial" w:hAnsi="Arial"/>
          <w:sz w:val="16"/>
          <w:szCs w:val="16"/>
        </w:rPr>
      </w:pPr>
      <w:r>
        <w:rPr>
          <w:rFonts w:ascii="Arial" w:hAnsi="Arial"/>
          <w:sz w:val="16"/>
          <w:szCs w:val="16"/>
        </w:rPr>
      </w:r>
    </w:p>
    <w:p>
      <w:pPr>
        <w:pStyle w:val="Normal"/>
        <w:pageBreakBefore/>
        <w:spacing w:lineRule="auto" w:line="360"/>
        <w:rPr>
          <w:rFonts w:cs="Arial" w:ascii="Arial" w:hAnsi="Arial"/>
          <w:sz w:val="16"/>
          <w:szCs w:val="16"/>
        </w:rPr>
      </w:pPr>
      <w:r>
        <w:rPr>
          <w:rFonts w:cs="Arial" w:ascii="Arial" w:hAnsi="Arial"/>
          <w:sz w:val="16"/>
          <w:szCs w:val="16"/>
        </w:rPr>
        <w:t>Appendix A –Stress test documentation and response</w:t>
      </w:r>
    </w:p>
    <w:p>
      <w:pPr>
        <w:pStyle w:val="Normal"/>
        <w:spacing w:lineRule="auto" w:line="360"/>
        <w:rPr>
          <w:rFonts w:cs="Arial" w:ascii="Arial" w:hAnsi="Arial"/>
          <w:sz w:val="16"/>
          <w:szCs w:val="16"/>
        </w:rPr>
      </w:pPr>
      <w:r>
        <w:rPr>
          <w:rFonts w:cs="Arial" w:ascii="Arial" w:hAnsi="Arial"/>
          <w:sz w:val="16"/>
          <w:szCs w:val="16"/>
        </w:rPr>
      </w:r>
    </w:p>
    <w:p>
      <w:pPr>
        <w:pStyle w:val="Normal"/>
        <w:spacing w:lineRule="auto" w:line="360" w:before="0" w:after="200"/>
        <w:rPr>
          <w:rFonts w:ascii="Arial" w:hAnsi="Arial"/>
          <w:sz w:val="16"/>
          <w:szCs w:val="16"/>
        </w:rPr>
      </w:pPr>
      <w:r>
        <w:rPr>
          <w:rFonts w:ascii="Arial" w:hAnsi="Arial"/>
          <w:sz w:val="16"/>
          <w:szCs w:val="16"/>
        </w:rPr>
        <w:pict>
          <v:shape id="shape_0" fillcolor="silver" stroked="f" style="position:absolute;margin-left:-59.4pt;margin-top:224.75pt;width:461.4pt;height:198.35pt;rotation:315;mso-position-horizontal:center;mso-position-vertical:center;mso-position-vertical-relative:margin" type="shapetype_136">
            <v:path textpathok="t"/>
            <v:textpath on="t" fitshape="t" string="SAMPLE" style="font-family:&quot;Calibri&quot;"/>
            <v:wrap v:type="none"/>
            <v:fill type="solid" color2="#3f3f3f" detectmouseclick="t" opacity="0.5"/>
            <v:stroke color="#3465a4" joinstyle="round" endcap="flat"/>
          </v:shape>
        </w:pict>
      </w:r>
    </w:p>
    <w:sectPr>
      <w:headerReference w:type="default" r:id="rId6"/>
      <w:footerReference w:type="default" r:id="rId7"/>
      <w:type w:val="nextPage"/>
      <w:pgSz w:w="12240" w:h="15840"/>
      <w:pgMar w:left="1440" w:right="3945" w:header="720" w:top="1440" w:footer="720" w:bottom="1440" w:gutter="0"/>
      <w:pgNumType w:start="1"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Arial">
    <w:charset w:val="01"/>
    <w:family w:val="roman"/>
    <w:pitch w:val="variable"/>
  </w:font>
  <w:font w:name="Cambria">
    <w:charset w:val="01"/>
    <w:family w:val="roman"/>
    <w:pitch w:val="variable"/>
  </w:font>
  <w:font w:name="Tahoma">
    <w:charset w:val="01"/>
    <w:family w:val="roman"/>
    <w:pitch w:val="variable"/>
  </w:font>
  <w:font w:name="Liberation Sans">
    <w:altName w:val="Arial"/>
    <w:charset w:val="01"/>
    <w:family w:val="swiss"/>
    <w:pitch w:val="variable"/>
  </w:font>
  <w:font w:name="Arial">
    <w:charset w:val="01"/>
    <w:family w:val="swiss"/>
    <w:pitch w:val="default"/>
  </w:font>
  <w:font w:name="Symbol">
    <w:charset w:val="02"/>
    <w:family w:val="auto"/>
    <w:pitch w:val="variable"/>
  </w:font>
  <w:font w:name="Courier New">
    <w:charset w:val="01"/>
    <w:family w:val="modern"/>
    <w:pitch w:val="fixed"/>
  </w:font>
  <w:font w:name="Wingdings">
    <w:charset w:val="02"/>
    <w:family w:val="auto"/>
    <w:pitch w:val="default"/>
  </w:font>
  <w:font w:name="SymbolMT">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tabs>
        <w:tab w:val="right" w:pos="9360" w:leader="none"/>
      </w:tabs>
      <w:spacing w:before="0" w:after="200"/>
      <w:rPr>
        <w:rFonts w:cs="Arial" w:ascii="Arial" w:hAnsi="Arial"/>
        <w:color w:val="595959"/>
        <w:sz w:val="20"/>
        <w:szCs w:val="20"/>
      </w:rPr>
    </w:pPr>
    <w:r>
      <w:rPr>
        <w:rFonts w:cs="Arial" w:ascii="Arial" w:hAnsi="Arial"/>
        <w:color w:val="595959"/>
        <w:sz w:val="20"/>
        <w:szCs w:val="20"/>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tabs>
        <w:tab w:val="right" w:pos="9360" w:leader="none"/>
      </w:tabs>
      <w:spacing w:before="0" w:after="200"/>
      <w:rPr>
        <w:rFonts w:cs="Arial" w:ascii="Arial" w:hAnsi="Arial"/>
        <w:color w:val="595959"/>
        <w:sz w:val="20"/>
        <w:szCs w:val="20"/>
      </w:rPr>
    </w:pPr>
    <w:r>
      <w:rPr>
        <w:rFonts w:cs="Arial" w:ascii="Arial" w:hAnsi="Arial"/>
        <w:color w:val="595959"/>
        <w:sz w:val="20"/>
        <w:szCs w:val="20"/>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pBdr>
        <w:top w:val="single" w:sz="4" w:space="1" w:color="00000A"/>
        <w:left w:val="nil"/>
        <w:bottom w:val="nil"/>
        <w:right w:val="nil"/>
      </w:pBdr>
      <w:tabs>
        <w:tab w:val="right" w:pos="9360" w:leader="none"/>
      </w:tabs>
      <w:spacing w:before="0" w:after="200"/>
      <w:rPr>
        <w:rFonts w:cs="Arial" w:ascii="Arial" w:hAnsi="Arial"/>
        <w:color w:val="595959"/>
        <w:sz w:val="20"/>
        <w:szCs w:val="20"/>
      </w:rPr>
    </w:pPr>
    <w:r>
      <w:rPr>
        <w:rFonts w:cs="Arial" w:ascii="Arial" w:hAnsi="Arial"/>
        <w:color w:val="595959"/>
        <w:sz w:val="20"/>
        <w:szCs w:val="20"/>
      </w:rPr>
      <w:t>XYZ Bank Liquidity Policy Statement (Banks should tailor to bank-specific situation.)</w:t>
      <w:tab/>
      <w:t xml:space="preserve">Page </w:t>
    </w:r>
    <w:r>
      <w:rPr>
        <w:rFonts w:cs="Arial" w:ascii="Arial" w:hAnsi="Arial"/>
        <w:color w:val="595959"/>
        <w:sz w:val="20"/>
        <w:szCs w:val="20"/>
      </w:rPr>
      <w:fldChar w:fldCharType="begin"/>
    </w:r>
    <w:r>
      <w:instrText> PAGE </w:instrText>
    </w:r>
    <w:r>
      <w:fldChar w:fldCharType="separate"/>
    </w:r>
    <w:r>
      <w:t>12</w:t>
    </w:r>
    <w: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Header"/>
      <w:tabs>
        <w:tab w:val="center" w:pos="4680" w:leader="none"/>
        <w:tab w:val="right" w:pos="9360" w:leader="none"/>
      </w:tabs>
      <w:spacing w:before="0" w:after="200"/>
      <w:rPr/>
    </w:pPr>
    <w:r>
      <w:rPr/>
      <w:pict>
        <v:shapetype id="shapetype_136" coordsize="21600,21600" o:spt="136" adj="10800" path="m@9,l@10,em@11,21600l@12,21600e">
          <v:stroke joinstyle="miter"/>
          <v:formulas>
            <v:f eqn="val #0"/>
            <v:f eqn="sum @0 0 10800"/>
            <v:f eqn="sum @0 0 0"/>
            <v:f eqn="sum width 0 @0"/>
            <v:f eqn="prod @2 2 1"/>
            <v:f eqn="prod @3 2 1"/>
            <v:f eqn="if @1 @5 @4"/>
            <v:f eqn="sum 0 @6 0"/>
            <v:f eqn="sum width 0 @6"/>
            <v:f eqn="if @1 0 @8"/>
            <v:f eqn="if @1 @7 width"/>
            <v:f eqn="if @1 @8 0"/>
            <v:f eqn="if @1 width @7"/>
          </v:formulas>
          <v:handles>
            <v:h position="@0,21600"/>
          </v:handles>
        </v:shapetype>
        <v:shape id="shape_0" fillcolor="silver" stroked="f" style="position:absolute;margin-left:2.6pt;margin-top:134.05pt;width:461.4pt;height:198.35pt;rotation:315;mso-position-horizontal:center;mso-position-vertical:center;mso-position-vertical-relative:margin" type="shapetype_136">
          <v:path textpathok="t"/>
          <v:textpath on="t" fitshape="t" string="SAMPLE" style="font-family:&quot;Calibri&quot;"/>
          <v:wrap v:type="none"/>
          <v:fill type="solid" color2="#3f3f3f" detectmouseclick="t" opacity="0.5"/>
          <v:stroke color="#3465a4" joinstyle="round" endcap="flat"/>
        </v:shape>
      </w:pic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Header"/>
      <w:tabs>
        <w:tab w:val="center" w:pos="4680" w:leader="none"/>
        <w:tab w:val="right" w:pos="9360" w:leader="none"/>
      </w:tabs>
      <w:spacing w:before="0" w:after="200"/>
      <w:rPr/>
    </w:pPr>
    <w:r>
      <w:rPr/>
      <w:pict>
        <v:shape id="shape_0" fillcolor="silver" stroked="f" style="position:absolute;margin-left:3.25pt;margin-top:248.6pt;width:461.4pt;height:198.35pt;rotation:315;mso-position-horizontal:center;mso-position-vertical:center;mso-position-vertical-relative:margin" type="shapetype_136">
          <v:path textpathok="t"/>
          <v:textpath on="t" fitshape="t" string="SAMPLE" style="font-family:&quot;Calibri&quot;"/>
          <v:wrap v:type="none"/>
          <v:fill type="solid" color2="#3f3f3f" detectmouseclick="t" opacity="0.5"/>
          <v:stroke color="#3465a4" joinstyle="round" endcap="flat"/>
        </v:shape>
      </w:pict>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Header"/>
      <w:tabs>
        <w:tab w:val="center" w:pos="4680" w:leader="none"/>
        <w:tab w:val="right" w:pos="9360" w:leader="none"/>
      </w:tabs>
      <w:spacing w:before="0" w:after="200"/>
      <w:rPr/>
    </w:pPr>
    <w:r>
      <w:rPr/>
      <w:pict>
        <v:shape id="shape_0" fillcolor="silver" stroked="f" style="position:absolute;margin-left:-59.4pt;margin-top:224.75pt;width:461.4pt;height:198.35pt;rotation:315;mso-position-horizontal:center;mso-position-vertical:center;mso-position-vertical-relative:margin" type="shapetype_136">
          <v:path textpathok="t"/>
          <v:textpath on="t" fitshape="t" string="SAMPLE" style="font-family:&quot;Calibri&quot;"/>
          <v:wrap v:type="none"/>
          <v:fill type="solid" color2="#3f3f3f" detectmouseclick="t" opacity="0.5"/>
          <v:stroke color="#3465a4" joinstyle="round" endcap="flat"/>
        </v:shape>
      </w:pic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lvl w:ilvl="0">
      <w:start w:val="1"/>
      <w:numFmt w:val="bullet"/>
      <w:lvlText w:val=""/>
      <w:lvlJc w:val="left"/>
      <w:pPr>
        <w:ind w:left="763" w:hanging="360"/>
      </w:pPr>
      <w:rPr>
        <w:rFonts w:ascii="Symbol" w:hAnsi="Symbol" w:cs="Symbol" w:hint="default"/>
      </w:rPr>
    </w:lvl>
    <w:lvl w:ilvl="1">
      <w:start w:val="1"/>
      <w:numFmt w:val="bullet"/>
      <w:lvlText w:val="o"/>
      <w:lvlJc w:val="left"/>
      <w:pPr>
        <w:ind w:left="1483" w:hanging="360"/>
      </w:pPr>
      <w:rPr>
        <w:rFonts w:ascii="Courier New" w:hAnsi="Courier New" w:cs="Courier New" w:hint="default"/>
      </w:rPr>
    </w:lvl>
    <w:lvl w:ilvl="2">
      <w:start w:val="1"/>
      <w:numFmt w:val="bullet"/>
      <w:lvlText w:val=""/>
      <w:lvlJc w:val="left"/>
      <w:pPr>
        <w:ind w:left="2203" w:hanging="360"/>
      </w:pPr>
      <w:rPr>
        <w:rFonts w:ascii="Wingdings" w:hAnsi="Wingdings" w:cs="Wingdings" w:hint="default"/>
      </w:rPr>
    </w:lvl>
    <w:lvl w:ilvl="3">
      <w:start w:val="1"/>
      <w:numFmt w:val="bullet"/>
      <w:lvlText w:val=""/>
      <w:lvlJc w:val="left"/>
      <w:pPr>
        <w:ind w:left="2923" w:hanging="360"/>
      </w:pPr>
      <w:rPr>
        <w:rFonts w:ascii="Symbol" w:hAnsi="Symbol" w:cs="Symbol" w:hint="default"/>
      </w:rPr>
    </w:lvl>
    <w:lvl w:ilvl="4">
      <w:start w:val="1"/>
      <w:numFmt w:val="bullet"/>
      <w:lvlText w:val="o"/>
      <w:lvlJc w:val="left"/>
      <w:pPr>
        <w:ind w:left="3643" w:hanging="360"/>
      </w:pPr>
      <w:rPr>
        <w:rFonts w:ascii="Courier New" w:hAnsi="Courier New" w:cs="Courier New" w:hint="default"/>
      </w:rPr>
    </w:lvl>
    <w:lvl w:ilvl="5">
      <w:start w:val="1"/>
      <w:numFmt w:val="bullet"/>
      <w:lvlText w:val=""/>
      <w:lvlJc w:val="left"/>
      <w:pPr>
        <w:ind w:left="4363" w:hanging="360"/>
      </w:pPr>
      <w:rPr>
        <w:rFonts w:ascii="Wingdings" w:hAnsi="Wingdings" w:cs="Wingdings" w:hint="default"/>
      </w:rPr>
    </w:lvl>
    <w:lvl w:ilvl="6">
      <w:start w:val="1"/>
      <w:numFmt w:val="bullet"/>
      <w:lvlText w:val=""/>
      <w:lvlJc w:val="left"/>
      <w:pPr>
        <w:ind w:left="5083" w:hanging="360"/>
      </w:pPr>
      <w:rPr>
        <w:rFonts w:ascii="Symbol" w:hAnsi="Symbol" w:cs="Symbol" w:hint="default"/>
      </w:rPr>
    </w:lvl>
    <w:lvl w:ilvl="7">
      <w:start w:val="1"/>
      <w:numFmt w:val="bullet"/>
      <w:lvlText w:val="o"/>
      <w:lvlJc w:val="left"/>
      <w:pPr>
        <w:ind w:left="5803" w:hanging="360"/>
      </w:pPr>
      <w:rPr>
        <w:rFonts w:ascii="Courier New" w:hAnsi="Courier New" w:cs="Courier New" w:hint="default"/>
      </w:rPr>
    </w:lvl>
    <w:lvl w:ilvl="8">
      <w:start w:val="1"/>
      <w:numFmt w:val="bullet"/>
      <w:lvlText w:val=""/>
      <w:lvlJc w:val="left"/>
      <w:pPr>
        <w:ind w:left="6523" w:hanging="360"/>
      </w:pPr>
      <w:rPr>
        <w:rFonts w:ascii="Wingdings" w:hAnsi="Wingdings" w:cs="Wingdings" w:hint="default"/>
      </w:rPr>
    </w:lvl>
  </w:abstractNum>
  <w:abstractNum w:abstractNumId="7">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lvl w:ilvl="0">
      <w:start w:val="1"/>
      <w:numFmt w:val="bullet"/>
      <w:lvlText w:val=""/>
      <w:lvlJc w:val="left"/>
      <w:pPr>
        <w:ind w:left="720" w:hanging="360"/>
      </w:pPr>
      <w:rPr>
        <w:rFonts w:ascii="Symbol" w:hAnsi="Symbol" w:cs="Symbol" w:hint="default"/>
      </w:rPr>
    </w:lvl>
    <w:lvl w:ilvl="1">
      <w:start w:val="1"/>
      <w:numFmt w:val="bullet"/>
      <w:lvlText w:val="•"/>
      <w:lvlJc w:val="left"/>
      <w:pPr>
        <w:ind w:left="1440" w:hanging="360"/>
      </w:pPr>
      <w:rPr>
        <w:rFonts w:ascii="SymbolMT" w:hAnsi="SymbolMT" w:cs="SymbolMT"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lvl w:ilvl="0">
      <w:start w:val="1"/>
      <w:numFmt w:val="bullet"/>
      <w:lvlText w:val=""/>
      <w:lvlJc w:val="left"/>
      <w:pPr>
        <w:ind w:left="720" w:hanging="360"/>
      </w:pPr>
      <w:rPr>
        <w:rFonts w:ascii="Symbol" w:hAnsi="Symbol" w:cs="Symbol" w:hint="default"/>
      </w:rPr>
    </w:lvl>
    <w:lvl w:ilvl="1">
      <w:start w:val="1"/>
      <w:numFmt w:val="bullet"/>
      <w:lvlText w:val=""/>
      <w:lvlJc w:val="left"/>
      <w:pPr>
        <w:ind w:left="1440" w:hanging="360"/>
      </w:pPr>
      <w:rPr>
        <w:rFonts w:ascii="Symbol" w:hAnsi="Symbol" w:cs="Symbol"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lvl w:ilvl="0">
      <w:start w:val="1"/>
      <w:numFmt w:val="bullet"/>
      <w:lvlText w:val="o"/>
      <w:lvlJc w:val="left"/>
      <w:pPr>
        <w:ind w:left="360" w:hanging="360"/>
      </w:pPr>
      <w:rPr>
        <w:rFonts w:ascii="Courier New" w:hAnsi="Courier New" w:cs="Courier New"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lvl w:ilvl="0">
      <w:start w:val="1"/>
      <w:numFmt w:val="bullet"/>
      <w:lvlText w:val=""/>
      <w:lvlJc w:val="left"/>
      <w:pPr>
        <w:tabs>
          <w:tab w:val="num" w:pos="720"/>
        </w:tabs>
        <w:ind w:left="720" w:hanging="360"/>
      </w:pPr>
      <w:rPr>
        <w:rFonts w:ascii="Symbol" w:hAnsi="Symbol" w:cs="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bering>
</file>

<file path=word/settings.xml><?xml version="1.0" encoding="utf-8"?>
<w:settings xmlns:w="http://schemas.openxmlformats.org/wordprocessingml/2006/main">
  <w:zoom w:percent="90"/>
  <w:defaultTabStop w:val="720"/>
</w:settings>
</file>

<file path=word/styles.xml><?xml version="1.0" encoding="utf-8"?>
<w:styles xmlns:w="http://schemas.openxmlformats.org/wordprocessingml/2006/main">
  <w:docDefaults>
    <w:rPrDefault>
      <w:rPr>
        <w:rFonts w:ascii="Calibri" w:hAnsi="Calibri" w:eastAsia="Calibri" w:cs="Times New Roman"/>
        <w:lang w:val="en-US" w:eastAsia="en-US" w:bidi="ar-SA"/>
      </w:rPr>
    </w:rPrDefault>
    <w:pPrDefault>
      <w:pPr/>
    </w:pPrDefault>
  </w:docDefaults>
  <w:latentStyles w:count="267" w:defQFormat="0" w:defUnhideWhenUsed="1" w:defSemiHidden="1" w:defUIPriority="99" w:defLockedState="0">
    <w:lsdException w:qFormat="1" w:semiHidden="0" w:uiPriority="0" w:unhideWhenUsed="0" w:name="Normal"/>
    <w:lsdException w:qFormat="1" w:semiHidden="0" w:uiPriority="9" w:unhideWhenUsed="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semiHidden="0" w:uiPriority="10" w:unhideWhenUsed="0" w:name="Title"/>
    <w:lsdException w:uiPriority="1" w:name="Default Paragraph Font"/>
    <w:lsdException w:qFormat="1" w:semiHidden="0" w:uiPriority="11" w:unhideWhenUsed="0" w:name="Subtitle"/>
    <w:lsdException w:qFormat="1" w:semiHidden="0" w:uiPriority="22" w:unhideWhenUsed="0" w:name="Strong"/>
    <w:lsdException w:qFormat="1" w:semiHidden="0" w:uiPriority="20" w:unhideWhenUsed="0" w:name="Emphasis"/>
    <w:lsdException w:semiHidden="0" w:uiPriority="59" w:unhideWhenUsed="0" w:name="Table Grid"/>
    <w:lsdException w:unhideWhenUsed="0" w:name="Placeholder Text"/>
    <w:lsdException w:qFormat="1" w:semiHidden="0" w:uiPriority="1" w:unhideWhenUsed="0" w:name="No Spacing"/>
    <w:lsdException w:semiHidden="0" w:uiPriority="60" w:unhideWhenUsed="0" w:name="Light Shading"/>
    <w:lsdException w:semiHidden="0" w:uiPriority="61" w:unhideWhenUsed="0" w:name="Light List"/>
    <w:lsdException w:semiHidden="0" w:uiPriority="62" w:unhideWhenUsed="0" w:name="Light Grid"/>
    <w:lsdException w:semiHidden="0" w:uiPriority="63" w:unhideWhenUsed="0" w:name="Medium Shading 1"/>
    <w:lsdException w:semiHidden="0" w:uiPriority="64" w:unhideWhenUsed="0" w:name="Medium Shading 2"/>
    <w:lsdException w:semiHidden="0" w:uiPriority="65" w:unhideWhenUsed="0" w:name="Medium List 1"/>
    <w:lsdException w:semiHidden="0" w:uiPriority="66" w:unhideWhenUsed="0" w:name="Medium List 2"/>
    <w:lsdException w:semiHidden="0" w:uiPriority="67" w:unhideWhenUsed="0" w:name="Medium Grid 1"/>
    <w:lsdException w:semiHidden="0" w:uiPriority="68" w:unhideWhenUsed="0" w:name="Medium Grid 2"/>
    <w:lsdException w:semiHidden="0" w:uiPriority="69" w:unhideWhenUsed="0" w:name="Medium Grid 3"/>
    <w:lsdException w:semiHidden="0" w:uiPriority="70" w:unhideWhenUsed="0" w:name="Dark List"/>
    <w:lsdException w:semiHidden="0" w:uiPriority="71" w:unhideWhenUsed="0" w:name="Colorful Shading"/>
    <w:lsdException w:semiHidden="0" w:uiPriority="72" w:unhideWhenUsed="0" w:name="Colorful List"/>
    <w:lsdException w:semiHidden="0" w:uiPriority="73" w:unhideWhenUsed="0" w:name="Colorful Grid"/>
    <w:lsdException w:semiHidden="0" w:uiPriority="60" w:unhideWhenUsed="0" w:name="Light Shading Accent 1"/>
    <w:lsdException w:semiHidden="0" w:uiPriority="61" w:unhideWhenUsed="0" w:name="Light List Accent 1"/>
    <w:lsdException w:semiHidden="0" w:uiPriority="62" w:unhideWhenUsed="0" w:name="Light Grid Accent 1"/>
    <w:lsdException w:semiHidden="0" w:uiPriority="63" w:unhideWhenUsed="0" w:name="Medium Shading 1 Accent 1"/>
    <w:lsdException w:semiHidden="0" w:uiPriority="64" w:unhideWhenUsed="0" w:name="Medium Shading 2 Accent 1"/>
    <w:lsdException w:semiHidden="0" w:uiPriority="65" w:unhideWhenUsed="0" w:name="Medium List 1 Accent 1"/>
    <w:lsdException w:unhideWhenUsed="0" w:name="Revision"/>
    <w:lsdException w:qFormat="1" w:semiHidden="0" w:uiPriority="34" w:unhideWhenUsed="0" w:name="List Paragraph"/>
    <w:lsdException w:qFormat="1" w:semiHidden="0" w:uiPriority="29" w:unhideWhenUsed="0" w:name="Quote"/>
    <w:lsdException w:qFormat="1" w:semiHidden="0" w:uiPriority="30" w:unhideWhenUsed="0" w:name="Intense Quote"/>
    <w:lsdException w:semiHidden="0" w:uiPriority="66" w:unhideWhenUsed="0" w:name="Medium List 2 Accent 1"/>
    <w:lsdException w:semiHidden="0" w:uiPriority="67" w:unhideWhenUsed="0" w:name="Medium Grid 1 Accent 1"/>
    <w:lsdException w:semiHidden="0" w:uiPriority="68" w:unhideWhenUsed="0" w:name="Medium Grid 2 Accent 1"/>
    <w:lsdException w:semiHidden="0" w:uiPriority="69" w:unhideWhenUsed="0" w:name="Medium Grid 3 Accent 1"/>
    <w:lsdException w:semiHidden="0" w:uiPriority="70" w:unhideWhenUsed="0" w:name="Dark List Accent 1"/>
    <w:lsdException w:semiHidden="0" w:uiPriority="71" w:unhideWhenUsed="0" w:name="Colorful Shading Accent 1"/>
    <w:lsdException w:semiHidden="0" w:uiPriority="72" w:unhideWhenUsed="0" w:name="Colorful List Accent 1"/>
    <w:lsdException w:semiHidden="0" w:uiPriority="73" w:unhideWhenUsed="0" w:name="Colorful Grid Accent 1"/>
    <w:lsdException w:semiHidden="0" w:uiPriority="60" w:unhideWhenUsed="0" w:name="Light Shading Accent 2"/>
    <w:lsdException w:semiHidden="0" w:uiPriority="61" w:unhideWhenUsed="0" w:name="Light List Accent 2"/>
    <w:lsdException w:semiHidden="0" w:uiPriority="62" w:unhideWhenUsed="0" w:name="Light Grid Accent 2"/>
    <w:lsdException w:semiHidden="0" w:uiPriority="63" w:unhideWhenUsed="0" w:name="Medium Shading 1 Accent 2"/>
    <w:lsdException w:semiHidden="0" w:uiPriority="64" w:unhideWhenUsed="0" w:name="Medium Shading 2 Accent 2"/>
    <w:lsdException w:semiHidden="0" w:uiPriority="65" w:unhideWhenUsed="0" w:name="Medium List 1 Accent 2"/>
    <w:lsdException w:semiHidden="0" w:uiPriority="66" w:unhideWhenUsed="0" w:name="Medium List 2 Accent 2"/>
    <w:lsdException w:semiHidden="0" w:uiPriority="67" w:unhideWhenUsed="0" w:name="Medium Grid 1 Accent 2"/>
    <w:lsdException w:semiHidden="0" w:uiPriority="68" w:unhideWhenUsed="0" w:name="Medium Grid 2 Accent 2"/>
    <w:lsdException w:semiHidden="0" w:uiPriority="69" w:unhideWhenUsed="0" w:name="Medium Grid 3 Accent 2"/>
    <w:lsdException w:semiHidden="0" w:uiPriority="70" w:unhideWhenUsed="0" w:name="Dark List Accent 2"/>
    <w:lsdException w:semiHidden="0" w:uiPriority="71" w:unhideWhenUsed="0" w:name="Colorful Shading Accent 2"/>
    <w:lsdException w:semiHidden="0" w:uiPriority="72" w:unhideWhenUsed="0" w:name="Colorful List Accent 2"/>
    <w:lsdException w:semiHidden="0" w:uiPriority="73" w:unhideWhenUsed="0" w:name="Colorful Grid Accent 2"/>
    <w:lsdException w:semiHidden="0" w:uiPriority="60" w:unhideWhenUsed="0" w:name="Light Shading Accent 3"/>
    <w:lsdException w:semiHidden="0" w:uiPriority="61" w:unhideWhenUsed="0" w:name="Light List Accent 3"/>
    <w:lsdException w:semiHidden="0" w:uiPriority="62" w:unhideWhenUsed="0" w:name="Light Grid Accent 3"/>
    <w:lsdException w:semiHidden="0" w:uiPriority="63" w:unhideWhenUsed="0" w:name="Medium Shading 1 Accent 3"/>
    <w:lsdException w:semiHidden="0" w:uiPriority="64" w:unhideWhenUsed="0" w:name="Medium Shading 2 Accent 3"/>
    <w:lsdException w:semiHidden="0" w:uiPriority="65" w:unhideWhenUsed="0" w:name="Medium List 1 Accent 3"/>
    <w:lsdException w:semiHidden="0" w:uiPriority="66" w:unhideWhenUsed="0" w:name="Medium List 2 Accent 3"/>
    <w:lsdException w:semiHidden="0" w:uiPriority="67" w:unhideWhenUsed="0" w:name="Medium Grid 1 Accent 3"/>
    <w:lsdException w:semiHidden="0" w:uiPriority="68" w:unhideWhenUsed="0" w:name="Medium Grid 2 Accent 3"/>
    <w:lsdException w:semiHidden="0" w:uiPriority="69" w:unhideWhenUsed="0" w:name="Medium Grid 3 Accent 3"/>
    <w:lsdException w:semiHidden="0" w:uiPriority="70" w:unhideWhenUsed="0" w:name="Dark List Accent 3"/>
    <w:lsdException w:semiHidden="0" w:uiPriority="71" w:unhideWhenUsed="0" w:name="Colorful Shading Accent 3"/>
    <w:lsdException w:semiHidden="0" w:uiPriority="72" w:unhideWhenUsed="0" w:name="Colorful List Accent 3"/>
    <w:lsdException w:semiHidden="0" w:uiPriority="73" w:unhideWhenUsed="0" w:name="Colorful Grid Accent 3"/>
    <w:lsdException w:semiHidden="0" w:uiPriority="60" w:unhideWhenUsed="0" w:name="Light Shading Accent 4"/>
    <w:lsdException w:semiHidden="0" w:uiPriority="61" w:unhideWhenUsed="0" w:name="Light List Accent 4"/>
    <w:lsdException w:semiHidden="0" w:uiPriority="62" w:unhideWhenUsed="0" w:name="Light Grid Accent 4"/>
    <w:lsdException w:semiHidden="0" w:uiPriority="63" w:unhideWhenUsed="0" w:name="Medium Shading 1 Accent 4"/>
    <w:lsdException w:semiHidden="0" w:uiPriority="64" w:unhideWhenUsed="0" w:name="Medium Shading 2 Accent 4"/>
    <w:lsdException w:semiHidden="0" w:uiPriority="65" w:unhideWhenUsed="0" w:name="Medium List 1 Accent 4"/>
    <w:lsdException w:semiHidden="0" w:uiPriority="66" w:unhideWhenUsed="0" w:name="Medium List 2 Accent 4"/>
    <w:lsdException w:semiHidden="0" w:uiPriority="67" w:unhideWhenUsed="0" w:name="Medium Grid 1 Accent 4"/>
    <w:lsdException w:semiHidden="0" w:uiPriority="68" w:unhideWhenUsed="0" w:name="Medium Grid 2 Accent 4"/>
    <w:lsdException w:semiHidden="0" w:uiPriority="69" w:unhideWhenUsed="0" w:name="Medium Grid 3 Accent 4"/>
    <w:lsdException w:semiHidden="0" w:uiPriority="70" w:unhideWhenUsed="0" w:name="Dark List Accent 4"/>
    <w:lsdException w:semiHidden="0" w:uiPriority="71" w:unhideWhenUsed="0" w:name="Colorful Shading Accent 4"/>
    <w:lsdException w:semiHidden="0" w:uiPriority="72" w:unhideWhenUsed="0" w:name="Colorful List Accent 4"/>
    <w:lsdException w:semiHidden="0" w:uiPriority="73" w:unhideWhenUsed="0" w:name="Colorful Grid Accent 4"/>
    <w:lsdException w:semiHidden="0" w:uiPriority="60" w:unhideWhenUsed="0" w:name="Light Shading Accent 5"/>
    <w:lsdException w:semiHidden="0" w:uiPriority="61" w:unhideWhenUsed="0" w:name="Light List Accent 5"/>
    <w:lsdException w:semiHidden="0" w:uiPriority="62" w:unhideWhenUsed="0" w:name="Light Grid Accent 5"/>
    <w:lsdException w:semiHidden="0" w:uiPriority="63" w:unhideWhenUsed="0" w:name="Medium Shading 1 Accent 5"/>
    <w:lsdException w:semiHidden="0" w:uiPriority="64" w:unhideWhenUsed="0" w:name="Medium Shading 2 Accent 5"/>
    <w:lsdException w:semiHidden="0" w:uiPriority="65" w:unhideWhenUsed="0" w:name="Medium List 1 Accent 5"/>
    <w:lsdException w:semiHidden="0" w:uiPriority="66" w:unhideWhenUsed="0" w:name="Medium List 2 Accent 5"/>
    <w:lsdException w:semiHidden="0" w:uiPriority="67" w:unhideWhenUsed="0" w:name="Medium Grid 1 Accent 5"/>
    <w:lsdException w:semiHidden="0" w:uiPriority="68" w:unhideWhenUsed="0" w:name="Medium Grid 2 Accent 5"/>
    <w:lsdException w:semiHidden="0" w:uiPriority="69" w:unhideWhenUsed="0" w:name="Medium Grid 3 Accent 5"/>
    <w:lsdException w:semiHidden="0" w:uiPriority="70" w:unhideWhenUsed="0" w:name="Dark List Accent 5"/>
    <w:lsdException w:semiHidden="0" w:uiPriority="71" w:unhideWhenUsed="0" w:name="Colorful Shading Accent 5"/>
    <w:lsdException w:semiHidden="0" w:uiPriority="72" w:unhideWhenUsed="0" w:name="Colorful List Accent 5"/>
    <w:lsdException w:semiHidden="0" w:uiPriority="73" w:unhideWhenUsed="0" w:name="Colorful Grid Accent 5"/>
    <w:lsdException w:semiHidden="0" w:uiPriority="60" w:unhideWhenUsed="0" w:name="Light Shading Accent 6"/>
    <w:lsdException w:semiHidden="0" w:uiPriority="61" w:unhideWhenUsed="0" w:name="Light List Accent 6"/>
    <w:lsdException w:semiHidden="0" w:uiPriority="62" w:unhideWhenUsed="0" w:name="Light Grid Accent 6"/>
    <w:lsdException w:semiHidden="0" w:uiPriority="63" w:unhideWhenUsed="0" w:name="Medium Shading 1 Accent 6"/>
    <w:lsdException w:semiHidden="0" w:uiPriority="64" w:unhideWhenUsed="0" w:name="Medium Shading 2 Accent 6"/>
    <w:lsdException w:semiHidden="0" w:uiPriority="65" w:unhideWhenUsed="0" w:name="Medium List 1 Accent 6"/>
    <w:lsdException w:semiHidden="0" w:uiPriority="66" w:unhideWhenUsed="0" w:name="Medium List 2 Accent 6"/>
    <w:lsdException w:semiHidden="0" w:uiPriority="67" w:unhideWhenUsed="0" w:name="Medium Grid 1 Accent 6"/>
    <w:lsdException w:semiHidden="0" w:uiPriority="68" w:unhideWhenUsed="0" w:name="Medium Grid 2 Accent 6"/>
    <w:lsdException w:semiHidden="0" w:uiPriority="69" w:unhideWhenUsed="0" w:name="Medium Grid 3 Accent 6"/>
    <w:lsdException w:semiHidden="0" w:uiPriority="70" w:unhideWhenUsed="0" w:name="Dark List Accent 6"/>
    <w:lsdException w:semiHidden="0" w:uiPriority="71" w:unhideWhenUsed="0" w:name="Colorful Shading Accent 6"/>
    <w:lsdException w:semiHidden="0" w:uiPriority="72" w:unhideWhenUsed="0" w:name="Colorful List Accent 6"/>
    <w:lsdException w:semiHidden="0" w:uiPriority="73" w:unhideWhenUsed="0" w:name="Colorful Grid Accent 6"/>
    <w:lsdException w:qFormat="1" w:semiHidden="0" w:uiPriority="19" w:unhideWhenUsed="0" w:name="Subtle Emphasis"/>
    <w:lsdException w:qFormat="1" w:semiHidden="0" w:uiPriority="21" w:unhideWhenUsed="0" w:name="Intense Emphasis"/>
    <w:lsdException w:qFormat="1" w:semiHidden="0" w:uiPriority="31" w:unhideWhenUsed="0" w:name="Subtle Reference"/>
    <w:lsdException w:qFormat="1" w:semiHidden="0" w:uiPriority="32" w:unhideWhenUsed="0" w:name="Intense Reference"/>
    <w:lsdException w:qFormat="1" w:semiHidden="0" w:uiPriority="33" w:unhideWhenUsed="0" w:name="Book Title"/>
    <w:lsdException w:uiPriority="37" w:name="Bibliography"/>
    <w:lsdException w:qFormat="1" w:uiPriority="39" w:name="TOC Heading"/>
  </w:latentStyles>
  <w:style w:type="paragraph" w:styleId="Normal" w:default="1">
    <w:name w:val="Normal"/>
    <w:qFormat/>
    <w:rsid w:val="0033396d"/>
    <w:pPr>
      <w:widowControl/>
      <w:suppressAutoHyphens w:val="true"/>
      <w:bidi w:val="0"/>
      <w:spacing w:lineRule="auto" w:line="276" w:before="0" w:after="200"/>
      <w:jc w:val="left"/>
    </w:pPr>
    <w:rPr>
      <w:rFonts w:ascii="Calibri" w:hAnsi="Calibri" w:eastAsia="Calibri" w:cs="Times New Roman"/>
      <w:color w:val="auto"/>
      <w:sz w:val="22"/>
      <w:szCs w:val="22"/>
      <w:lang w:val="en-US" w:eastAsia="en-US" w:bidi="ar-SA"/>
    </w:rPr>
  </w:style>
  <w:style w:type="paragraph" w:styleId="Heading1">
    <w:name w:val="Heading 1"/>
    <w:uiPriority w:val="9"/>
    <w:qFormat/>
    <w:link w:val="Heading1Char"/>
    <w:rsid w:val="00c54885"/>
    <w:basedOn w:val="Normal"/>
    <w:next w:val="Normal"/>
    <w:pPr>
      <w:keepNext/>
      <w:keepLines/>
      <w:spacing w:before="480" w:after="240"/>
      <w:outlineLvl w:val="0"/>
    </w:pPr>
    <w:rPr>
      <w:rFonts w:ascii="Arial" w:hAnsi="Arial" w:eastAsia="Times New Roman" w:cs="Arial"/>
      <w:b/>
      <w:bCs/>
      <w:color w:val="005A8C"/>
      <w:sz w:val="20"/>
      <w:szCs w:val="20"/>
    </w:rPr>
  </w:style>
  <w:style w:type="paragraph" w:styleId="Heading2">
    <w:name w:val="Heading 2"/>
    <w:uiPriority w:val="9"/>
    <w:qFormat/>
    <w:unhideWhenUsed/>
    <w:link w:val="Heading2Char"/>
    <w:rsid w:val="00c54885"/>
    <w:basedOn w:val="Normal"/>
    <w:next w:val="Normal"/>
    <w:pPr>
      <w:keepNext/>
      <w:keepLines/>
      <w:spacing w:before="200" w:after="0"/>
      <w:outlineLvl w:val="1"/>
    </w:pPr>
    <w:rPr>
      <w:rFonts w:ascii="Arial" w:hAnsi="Arial" w:eastAsia="Times New Roman" w:cs="Arial"/>
      <w:b/>
      <w:bCs/>
      <w:sz w:val="20"/>
      <w:szCs w:val="20"/>
    </w:rPr>
  </w:style>
  <w:style w:type="paragraph" w:styleId="Heading3">
    <w:name w:val="Heading 3"/>
    <w:uiPriority w:val="9"/>
    <w:qFormat/>
    <w:unhideWhenUsed/>
    <w:link w:val="Heading3Char"/>
    <w:rsid w:val="008c3bdd"/>
    <w:basedOn w:val="Normal"/>
    <w:next w:val="Normal"/>
    <w:pPr>
      <w:keepNext/>
      <w:keepLines/>
      <w:spacing w:before="200" w:after="0"/>
      <w:outlineLvl w:val="2"/>
    </w:pPr>
    <w:rPr>
      <w:rFonts w:ascii="Arial" w:hAnsi="Arial" w:eastAsia="Times New Roman" w:cs="Arial"/>
      <w:b/>
      <w:bCs/>
      <w:i/>
      <w:sz w:val="20"/>
      <w:szCs w:val="20"/>
    </w:rPr>
  </w:style>
  <w:style w:type="paragraph" w:styleId="Heading4">
    <w:name w:val="Heading 4"/>
    <w:uiPriority w:val="9"/>
    <w:qFormat/>
    <w:unhideWhenUsed/>
    <w:link w:val="Heading4Char"/>
    <w:rsid w:val="006a390b"/>
    <w:basedOn w:val="Normal"/>
    <w:next w:val="Normal"/>
    <w:pPr>
      <w:keepNext/>
      <w:keepLines/>
      <w:spacing w:before="200" w:after="0"/>
      <w:outlineLvl w:val="3"/>
    </w:pPr>
    <w:rPr>
      <w:rFonts w:ascii="Cambria" w:hAnsi="Cambria" w:eastAsia="Times New Roman"/>
      <w:b/>
      <w:bCs/>
      <w:i/>
      <w:iCs/>
      <w:color w:val="4F81BD"/>
    </w:rPr>
  </w:style>
  <w:style w:type="character" w:styleId="DefaultParagraphFont" w:default="1">
    <w:name w:val="Default Paragraph Font"/>
    <w:uiPriority w:val="1"/>
    <w:semiHidden/>
    <w:unhideWhenUsed/>
    <w:rPr/>
  </w:style>
  <w:style w:type="character" w:styleId="Heading1Char" w:customStyle="1">
    <w:name w:val="Heading 1 Char"/>
    <w:uiPriority w:val="9"/>
    <w:link w:val="Heading1"/>
    <w:rsid w:val="00c54885"/>
    <w:basedOn w:val="DefaultParagraphFont"/>
    <w:rPr>
      <w:rFonts w:ascii="Arial" w:hAnsi="Arial" w:eastAsia="Times New Roman" w:cs="Arial"/>
      <w:b/>
      <w:bCs/>
      <w:color w:val="005A8C"/>
    </w:rPr>
  </w:style>
  <w:style w:type="character" w:styleId="Heading2Char" w:customStyle="1">
    <w:name w:val="Heading 2 Char"/>
    <w:uiPriority w:val="9"/>
    <w:link w:val="Heading2"/>
    <w:rsid w:val="00c54885"/>
    <w:basedOn w:val="DefaultParagraphFont"/>
    <w:rPr>
      <w:rFonts w:ascii="Arial" w:hAnsi="Arial" w:eastAsia="Times New Roman" w:cs="Arial"/>
      <w:b/>
      <w:bCs/>
    </w:rPr>
  </w:style>
  <w:style w:type="character" w:styleId="Heading3Char" w:customStyle="1">
    <w:name w:val="Heading 3 Char"/>
    <w:uiPriority w:val="9"/>
    <w:link w:val="Heading3"/>
    <w:rsid w:val="008c3bdd"/>
    <w:basedOn w:val="DefaultParagraphFont"/>
    <w:rPr>
      <w:rFonts w:ascii="Arial" w:hAnsi="Arial" w:eastAsia="Times New Roman" w:cs="Arial"/>
      <w:b/>
      <w:bCs/>
      <w:i/>
    </w:rPr>
  </w:style>
  <w:style w:type="character" w:styleId="Heading4Char" w:customStyle="1">
    <w:name w:val="Heading 4 Char"/>
    <w:uiPriority w:val="9"/>
    <w:link w:val="Heading4"/>
    <w:rsid w:val="006a390b"/>
    <w:basedOn w:val="DefaultParagraphFont"/>
    <w:rPr>
      <w:rFonts w:ascii="Cambria" w:hAnsi="Cambria" w:eastAsia="Times New Roman" w:cs="Times New Roman"/>
      <w:b/>
      <w:bCs/>
      <w:i/>
      <w:iCs/>
      <w:color w:val="4F81BD"/>
    </w:rPr>
  </w:style>
  <w:style w:type="character" w:styleId="BalloonTextChar" w:customStyle="1">
    <w:name w:val="Balloon Text Char"/>
    <w:uiPriority w:val="99"/>
    <w:semiHidden/>
    <w:link w:val="BalloonText"/>
    <w:rsid w:val="00250360"/>
    <w:basedOn w:val="DefaultParagraphFont"/>
    <w:rPr>
      <w:rFonts w:ascii="Tahoma" w:hAnsi="Tahoma" w:cs="Tahoma"/>
      <w:sz w:val="16"/>
      <w:szCs w:val="16"/>
    </w:rPr>
  </w:style>
  <w:style w:type="character" w:styleId="InternetLink">
    <w:name w:val="Internet Link"/>
    <w:uiPriority w:val="99"/>
    <w:unhideWhenUsed/>
    <w:rsid w:val="00040b79"/>
    <w:basedOn w:val="DefaultParagraphFont"/>
    <w:rPr>
      <w:color w:val="0000FF"/>
      <w:u w:val="single"/>
      <w:lang w:val="zxx" w:eastAsia="zxx" w:bidi="zxx"/>
    </w:rPr>
  </w:style>
  <w:style w:type="character" w:styleId="BookTitle">
    <w:name w:val="Book Title"/>
    <w:uiPriority w:val="33"/>
    <w:qFormat/>
    <w:rsid w:val="00040b79"/>
    <w:basedOn w:val="DefaultParagraphFont"/>
    <w:rPr>
      <w:b/>
      <w:bCs/>
      <w:smallCaps/>
      <w:spacing w:val="5"/>
    </w:rPr>
  </w:style>
  <w:style w:type="character" w:styleId="HeaderChar" w:customStyle="1">
    <w:name w:val="Header Char"/>
    <w:uiPriority w:val="99"/>
    <w:semiHidden/>
    <w:link w:val="Header"/>
    <w:rsid w:val="00cd0d72"/>
    <w:basedOn w:val="DefaultParagraphFont"/>
    <w:rPr>
      <w:sz w:val="22"/>
      <w:szCs w:val="22"/>
    </w:rPr>
  </w:style>
  <w:style w:type="character" w:styleId="FooterChar" w:customStyle="1">
    <w:name w:val="Footer Char"/>
    <w:uiPriority w:val="99"/>
    <w:link w:val="Footer"/>
    <w:rsid w:val="00cd0d72"/>
    <w:basedOn w:val="DefaultParagraphFont"/>
    <w:rPr>
      <w:sz w:val="22"/>
      <w:szCs w:val="22"/>
    </w:rPr>
  </w:style>
  <w:style w:type="character" w:styleId="Annotationreference">
    <w:name w:val="annotation reference"/>
    <w:uiPriority w:val="99"/>
    <w:semiHidden/>
    <w:unhideWhenUsed/>
    <w:rsid w:val="008c3bdd"/>
    <w:basedOn w:val="DefaultParagraphFont"/>
    <w:rPr>
      <w:sz w:val="16"/>
      <w:szCs w:val="16"/>
    </w:rPr>
  </w:style>
  <w:style w:type="character" w:styleId="CommentTextChar" w:customStyle="1">
    <w:name w:val="Comment Text Char"/>
    <w:uiPriority w:val="99"/>
    <w:semiHidden/>
    <w:link w:val="CommentText"/>
    <w:rsid w:val="008c3bdd"/>
    <w:basedOn w:val="DefaultParagraphFont"/>
    <w:rPr/>
  </w:style>
  <w:style w:type="character" w:styleId="CommentSubjectChar" w:customStyle="1">
    <w:name w:val="Comment Subject Char"/>
    <w:uiPriority w:val="99"/>
    <w:semiHidden/>
    <w:link w:val="CommentSubject"/>
    <w:rsid w:val="008c3bdd"/>
    <w:basedOn w:val="CommentTextChar"/>
    <w:rPr>
      <w:b/>
      <w:bCs/>
    </w:rPr>
  </w:style>
  <w:style w:type="character" w:styleId="ListLabel1">
    <w:name w:val="ListLabel 1"/>
    <w:rPr>
      <w:rFonts w:cs="Courier New"/>
    </w:rPr>
  </w:style>
  <w:style w:type="character" w:styleId="ListLabel2">
    <w:name w:val="ListLabel 2"/>
    <w:rPr>
      <w:rFonts w:eastAsia="Calibri" w:cs="SymbolMT"/>
    </w:rPr>
  </w:style>
  <w:style w:type="character" w:styleId="ListLabel3">
    <w:name w:val="ListLabel 3"/>
    <w:rPr>
      <w:rFonts w:eastAsia="Times New Roman" w:cs="Times New Roman"/>
    </w:rPr>
  </w:style>
  <w:style w:type="character" w:styleId="IndexLink">
    <w:name w:val="Index Link"/>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paragraph" w:styleId="ListParagraph">
    <w:name w:val="List Paragraph"/>
    <w:uiPriority w:val="34"/>
    <w:qFormat/>
    <w:rsid w:val="00822470"/>
    <w:basedOn w:val="Normal"/>
    <w:pPr>
      <w:spacing w:before="0" w:after="200"/>
      <w:ind w:left="720" w:right="0" w:hanging="0"/>
      <w:contextualSpacing/>
    </w:pPr>
    <w:rPr/>
  </w:style>
  <w:style w:type="paragraph" w:styleId="BalloonText">
    <w:name w:val="Balloon Text"/>
    <w:uiPriority w:val="99"/>
    <w:semiHidden/>
    <w:unhideWhenUsed/>
    <w:link w:val="BalloonTextChar"/>
    <w:rsid w:val="00250360"/>
    <w:basedOn w:val="Normal"/>
    <w:pPr>
      <w:spacing w:lineRule="auto" w:line="240" w:before="0" w:after="0"/>
    </w:pPr>
    <w:rPr>
      <w:rFonts w:ascii="Tahoma" w:hAnsi="Tahoma" w:cs="Tahoma"/>
      <w:sz w:val="16"/>
      <w:szCs w:val="16"/>
    </w:rPr>
  </w:style>
  <w:style w:type="paragraph" w:styleId="ContentsHeading">
    <w:name w:val="Contents Heading"/>
    <w:uiPriority w:val="39"/>
    <w:qFormat/>
    <w:semiHidden/>
    <w:unhideWhenUsed/>
    <w:rsid w:val="00040b79"/>
    <w:basedOn w:val="Heading1"/>
    <w:next w:val="Normal"/>
    <w:pPr/>
    <w:rPr/>
  </w:style>
  <w:style w:type="paragraph" w:styleId="Contents1">
    <w:name w:val="Contents 1"/>
    <w:uiPriority w:val="39"/>
    <w:unhideWhenUsed/>
    <w:rsid w:val="00040b79"/>
    <w:basedOn w:val="Normal"/>
    <w:next w:val="Normal"/>
    <w:autoRedefine/>
    <w:pPr/>
    <w:rPr/>
  </w:style>
  <w:style w:type="paragraph" w:styleId="Contents2">
    <w:name w:val="Contents 2"/>
    <w:uiPriority w:val="39"/>
    <w:unhideWhenUsed/>
    <w:rsid w:val="00722869"/>
    <w:basedOn w:val="Normal"/>
    <w:next w:val="Normal"/>
    <w:autoRedefine/>
    <w:pPr>
      <w:tabs>
        <w:tab w:val="right" w:pos="9350" w:leader="dot"/>
      </w:tabs>
      <w:spacing w:before="0" w:after="160"/>
      <w:ind w:left="216" w:right="0" w:hanging="0"/>
    </w:pPr>
    <w:rPr/>
  </w:style>
  <w:style w:type="paragraph" w:styleId="Contents3">
    <w:name w:val="Contents 3"/>
    <w:uiPriority w:val="39"/>
    <w:unhideWhenUsed/>
    <w:rsid w:val="00040b79"/>
    <w:basedOn w:val="Normal"/>
    <w:next w:val="Normal"/>
    <w:autoRedefine/>
    <w:pPr>
      <w:ind w:left="440" w:right="0" w:hanging="0"/>
    </w:pPr>
    <w:rPr/>
  </w:style>
  <w:style w:type="paragraph" w:styleId="Header">
    <w:name w:val="Header"/>
    <w:uiPriority w:val="99"/>
    <w:semiHidden/>
    <w:unhideWhenUsed/>
    <w:link w:val="HeaderChar"/>
    <w:rsid w:val="00cd0d72"/>
    <w:basedOn w:val="Normal"/>
    <w:pPr>
      <w:tabs>
        <w:tab w:val="center" w:pos="4680" w:leader="none"/>
        <w:tab w:val="right" w:pos="9360" w:leader="none"/>
      </w:tabs>
    </w:pPr>
    <w:rPr/>
  </w:style>
  <w:style w:type="paragraph" w:styleId="Footer">
    <w:name w:val="Footer"/>
    <w:uiPriority w:val="99"/>
    <w:unhideWhenUsed/>
    <w:link w:val="FooterChar"/>
    <w:rsid w:val="00cd0d72"/>
    <w:basedOn w:val="Normal"/>
    <w:pPr>
      <w:tabs>
        <w:tab w:val="center" w:pos="4680" w:leader="none"/>
        <w:tab w:val="right" w:pos="9360" w:leader="none"/>
      </w:tabs>
    </w:pPr>
    <w:rPr/>
  </w:style>
  <w:style w:type="paragraph" w:styleId="Annotationtext">
    <w:name w:val="annotation text"/>
    <w:uiPriority w:val="99"/>
    <w:semiHidden/>
    <w:unhideWhenUsed/>
    <w:link w:val="CommentTextChar"/>
    <w:rsid w:val="008c3bdd"/>
    <w:basedOn w:val="Normal"/>
    <w:pPr>
      <w:spacing w:lineRule="auto" w:line="240"/>
    </w:pPr>
    <w:rPr>
      <w:sz w:val="20"/>
      <w:szCs w:val="20"/>
    </w:rPr>
  </w:style>
  <w:style w:type="paragraph" w:styleId="Annotationsubject">
    <w:name w:val="annotation subject"/>
    <w:uiPriority w:val="99"/>
    <w:semiHidden/>
    <w:unhideWhenUsed/>
    <w:link w:val="CommentSubjectChar"/>
    <w:rsid w:val="008c3bdd"/>
    <w:basedOn w:val="Annotationtext"/>
    <w:pPr/>
    <w:rPr>
      <w:b/>
      <w:bCs/>
    </w:rPr>
  </w:style>
  <w:style w:type="numbering" w:styleId="NoList" w:default="1">
    <w:name w:val="No List"/>
    <w:uiPriority w:val="99"/>
    <w:semiHidden/>
    <w:unhideWhenUsed/>
  </w:style>
  <w:style w:type="table" w:default="1" w:styleId="TableNormal">
    <w:name w:val="Normal Table"/>
    <w:uiPriority w:val="99"/>
    <w:qFormat/>
    <w:semiHidden/>
    <w:unhideWhenUsed/>
    <w:tblPr>
      <w:tblInd w:type="dxa" w:w="0"/>
      <w:tblCellMar>
        <w:top w:w="0" w:type="dxa"/>
        <w:left w:w="108" w:type="dxa"/>
        <w:bottom w:w="0" w:type="dxa"/>
        <w:right w:w="108" w:type="dxa"/>
      </w:tblCellMar>
    </w:tblPr>
  </w:style>
  <w:style w:type="table" w:styleId="TableGrid">
    <w:name w:val="Table Grid"/>
    <w:basedOn w:val="TableNormal"/>
    <w:uiPriority w:val="59"/>
    <w:rsid w:val="000637a5"/>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header" Target="header3.xml"/><Relationship Id="rId7" Type="http://schemas.openxmlformats.org/officeDocument/2006/relationships/footer" Target="footer3.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Relationship Id="rId12"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771F79-32A8-4081-97F1-2141939D8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2011-02-11T18:54:00Z</dcterms:created>
  <dc:creator>Tom Farin</dc:creator>
  <dc:language>en-IN</dc:language>
  <cp:lastModifiedBy>ABA User</cp:lastModifiedBy>
  <cp:lastPrinted>2011-02-16T14:28:00Z</cp:lastPrinted>
  <dcterms:modified xsi:type="dcterms:W3CDTF">2011-06-28T15:53:00Z</dcterms:modified>
  <cp:revision>32</cp:revision>
</cp:coreProperties>
</file>