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A6F99" w14:textId="77777777" w:rsidR="00EC0955" w:rsidRDefault="00EC0955" w:rsidP="00EC0955">
      <w:pPr>
        <w:jc w:val="both"/>
        <w:rPr>
          <w:b/>
        </w:rPr>
      </w:pPr>
      <w:r>
        <w:rPr>
          <w:rFonts w:ascii="Cambria" w:hAnsi="Cambria"/>
          <w:i/>
        </w:rPr>
        <w:t>This template for a convertible note term sheet is for informational purposes only and does not constitute advertising, a solicitation, or legal advice. Review of or use of this template does not constitute formation of an attorney-client relationship. COMAR LAW disclaims all liability with regard to use of this template. Readers of this template should not rely upon this document without seeking legal advice from a licensed attorney in the reader’s state</w:t>
      </w:r>
    </w:p>
    <w:p w14:paraId="7C58165F" w14:textId="77777777" w:rsidR="00EC0955" w:rsidRDefault="00EC0955" w:rsidP="005D4BF1">
      <w:pPr>
        <w:jc w:val="center"/>
        <w:rPr>
          <w:b/>
        </w:rPr>
      </w:pPr>
    </w:p>
    <w:p w14:paraId="5A5F39E3" w14:textId="77777777" w:rsidR="005D4BF1" w:rsidRPr="00D60E9F" w:rsidRDefault="00C56908" w:rsidP="005D4BF1">
      <w:pPr>
        <w:jc w:val="center"/>
        <w:rPr>
          <w:b/>
        </w:rPr>
      </w:pPr>
      <w:r>
        <w:rPr>
          <w:b/>
        </w:rPr>
        <w:t>[</w:t>
      </w:r>
      <w:r w:rsidRPr="00EC0955">
        <w:rPr>
          <w:b/>
          <w:i/>
          <w:highlight w:val="yellow"/>
        </w:rPr>
        <w:t>Name of Company</w:t>
      </w:r>
      <w:r>
        <w:rPr>
          <w:b/>
        </w:rPr>
        <w:t>]</w:t>
      </w:r>
      <w:r w:rsidR="00D60E9F">
        <w:rPr>
          <w:b/>
        </w:rPr>
        <w:t>, INC.</w:t>
      </w:r>
    </w:p>
    <w:p w14:paraId="123CB194" w14:textId="77777777" w:rsidR="007D1C52" w:rsidRDefault="007D1C52" w:rsidP="005D4BF1">
      <w:pPr>
        <w:jc w:val="center"/>
        <w:rPr>
          <w:b/>
        </w:rPr>
      </w:pPr>
    </w:p>
    <w:p w14:paraId="3D7534C3" w14:textId="77777777" w:rsidR="005D4BF1" w:rsidRPr="00D60E9F" w:rsidRDefault="007D1C52" w:rsidP="005D4BF1">
      <w:pPr>
        <w:jc w:val="center"/>
        <w:rPr>
          <w:b/>
        </w:rPr>
      </w:pPr>
      <w:r>
        <w:rPr>
          <w:b/>
        </w:rPr>
        <w:t>TERM SHEET</w:t>
      </w:r>
    </w:p>
    <w:p w14:paraId="5475E6F1" w14:textId="77777777" w:rsidR="005D4BF1" w:rsidRDefault="007D1C52" w:rsidP="005D4BF1">
      <w:pPr>
        <w:jc w:val="center"/>
        <w:rPr>
          <w:b/>
        </w:rPr>
      </w:pPr>
      <w:r>
        <w:rPr>
          <w:b/>
        </w:rPr>
        <w:t xml:space="preserve">FOR </w:t>
      </w:r>
      <w:r w:rsidR="005D4BF1">
        <w:rPr>
          <w:b/>
        </w:rPr>
        <w:t>CONVERTIBLE NOTE FINANCING</w:t>
      </w:r>
    </w:p>
    <w:p w14:paraId="4A299E0A" w14:textId="77777777" w:rsidR="005D4BF1" w:rsidRDefault="005D4BF1" w:rsidP="005D4BF1">
      <w:pPr>
        <w:jc w:val="center"/>
        <w:rPr>
          <w:b/>
        </w:rPr>
      </w:pPr>
    </w:p>
    <w:p w14:paraId="39A0D474" w14:textId="77777777" w:rsidR="005D4BF1" w:rsidRDefault="00C56908" w:rsidP="005D4BF1">
      <w:pPr>
        <w:jc w:val="center"/>
        <w:rPr>
          <w:b/>
        </w:rPr>
      </w:pPr>
      <w:r>
        <w:rPr>
          <w:b/>
        </w:rPr>
        <w:t>[</w:t>
      </w:r>
      <w:r w:rsidRPr="00EC0955">
        <w:rPr>
          <w:b/>
          <w:i/>
          <w:highlight w:val="yellow"/>
        </w:rPr>
        <w:t>Month</w:t>
      </w:r>
      <w:r>
        <w:rPr>
          <w:b/>
        </w:rPr>
        <w:t>]</w:t>
      </w:r>
      <w:r w:rsidR="005D4BF1">
        <w:rPr>
          <w:b/>
        </w:rPr>
        <w:t xml:space="preserve"> </w:t>
      </w:r>
      <w:r>
        <w:rPr>
          <w:b/>
        </w:rPr>
        <w:t>[</w:t>
      </w:r>
      <w:r w:rsidRPr="00EC0955">
        <w:rPr>
          <w:b/>
          <w:i/>
          <w:highlight w:val="yellow"/>
        </w:rPr>
        <w:t>Year</w:t>
      </w:r>
      <w:r>
        <w:rPr>
          <w:b/>
        </w:rPr>
        <w:t>]</w:t>
      </w:r>
    </w:p>
    <w:p w14:paraId="6A03326A" w14:textId="77777777" w:rsidR="005D4BF1" w:rsidRDefault="005D4BF1">
      <w:pPr>
        <w:rPr>
          <w:b/>
        </w:rPr>
      </w:pPr>
    </w:p>
    <w:p w14:paraId="17B20944" w14:textId="77777777" w:rsidR="00BF1B18" w:rsidRDefault="005D4BF1">
      <w:r>
        <w:tab/>
        <w:t xml:space="preserve">This </w:t>
      </w:r>
      <w:r w:rsidR="007D1C52">
        <w:t>Term Sheet</w:t>
      </w:r>
      <w:r>
        <w:t xml:space="preserve"> sets forth the principal terms proposed for the</w:t>
      </w:r>
      <w:r w:rsidR="00D60E9F">
        <w:t xml:space="preserve"> sale and issuance of Convertib</w:t>
      </w:r>
      <w:r>
        <w:t>l</w:t>
      </w:r>
      <w:r w:rsidR="00D60E9F">
        <w:t>e</w:t>
      </w:r>
      <w:r>
        <w:t xml:space="preserve"> Promissory Notes of </w:t>
      </w:r>
      <w:r w:rsidR="00C56908">
        <w:t>[</w:t>
      </w:r>
      <w:r w:rsidR="00C56908" w:rsidRPr="00EC0955">
        <w:rPr>
          <w:i/>
          <w:highlight w:val="yellow"/>
        </w:rPr>
        <w:t>Name of Company</w:t>
      </w:r>
      <w:r w:rsidR="00EC0955">
        <w:t>]</w:t>
      </w:r>
      <w:r>
        <w:t>, Inc., a Delaware corporation (the “Company”).</w:t>
      </w:r>
      <w:r w:rsidR="00137C93">
        <w:t xml:space="preserve"> No legally binding obligations will be created by this Term Sheet until definitive agreements are executed and delivered by all parties. This Term Sheet is not a commitment to invest or issue any promissory note, and is conditioned on the completion of due diligence, legal review and documentation that is satisfactory to the Investors</w:t>
      </w:r>
      <w:r w:rsidR="00B4612F">
        <w:t xml:space="preserve">. </w:t>
      </w:r>
      <w:r w:rsidR="00137C93">
        <w:t xml:space="preserve">This Term Sheet shall be governed in all respects by the laws of the State of </w:t>
      </w:r>
      <w:r w:rsidR="00BB2CCE">
        <w:t>Delaware</w:t>
      </w:r>
      <w:r w:rsidR="00137C93">
        <w:t>.</w:t>
      </w:r>
    </w:p>
    <w:p w14:paraId="241A39BD" w14:textId="77777777" w:rsidR="00BF1B18" w:rsidRDefault="00BF1B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8"/>
        <w:gridCol w:w="6138"/>
      </w:tblGrid>
      <w:tr w:rsidR="00BF1B18" w14:paraId="65DB5BCC" w14:textId="77777777">
        <w:tc>
          <w:tcPr>
            <w:tcW w:w="3438" w:type="dxa"/>
            <w:shd w:val="clear" w:color="auto" w:fill="auto"/>
          </w:tcPr>
          <w:p w14:paraId="1D25DECE" w14:textId="77777777" w:rsidR="00BF1B18" w:rsidRDefault="00BF1B18">
            <w:pPr>
              <w:rPr>
                <w:b/>
                <w:u w:val="single"/>
              </w:rPr>
            </w:pPr>
            <w:r>
              <w:rPr>
                <w:b/>
                <w:u w:val="single"/>
              </w:rPr>
              <w:t>Offering Terms</w:t>
            </w:r>
          </w:p>
          <w:p w14:paraId="50E141D4" w14:textId="77777777" w:rsidR="00BF1B18" w:rsidRPr="000217BD" w:rsidRDefault="00BF1B18">
            <w:pPr>
              <w:rPr>
                <w:b/>
                <w:u w:val="single"/>
              </w:rPr>
            </w:pPr>
          </w:p>
        </w:tc>
        <w:tc>
          <w:tcPr>
            <w:tcW w:w="6138" w:type="dxa"/>
            <w:shd w:val="clear" w:color="auto" w:fill="auto"/>
          </w:tcPr>
          <w:p w14:paraId="6CA7364F" w14:textId="77777777" w:rsidR="00BF1B18" w:rsidRDefault="00BF1B18"/>
        </w:tc>
      </w:tr>
      <w:tr w:rsidR="00BF1B18" w14:paraId="206DDBAD" w14:textId="77777777">
        <w:tc>
          <w:tcPr>
            <w:tcW w:w="3438" w:type="dxa"/>
            <w:shd w:val="clear" w:color="auto" w:fill="auto"/>
          </w:tcPr>
          <w:p w14:paraId="2B5D9EEA" w14:textId="77777777" w:rsidR="00BF1B18" w:rsidRPr="0048624A" w:rsidRDefault="00BF1B18">
            <w:pPr>
              <w:rPr>
                <w:i/>
              </w:rPr>
            </w:pPr>
            <w:r w:rsidRPr="0048624A">
              <w:rPr>
                <w:i/>
              </w:rPr>
              <w:t>Type of Security:</w:t>
            </w:r>
          </w:p>
        </w:tc>
        <w:tc>
          <w:tcPr>
            <w:tcW w:w="6138" w:type="dxa"/>
            <w:shd w:val="clear" w:color="auto" w:fill="auto"/>
          </w:tcPr>
          <w:p w14:paraId="41A64FDF" w14:textId="77777777" w:rsidR="00BF1B18" w:rsidRDefault="00BF1B18">
            <w:r>
              <w:t>Convertible Promissory Notes, bearing interes</w:t>
            </w:r>
            <w:r w:rsidR="006514FD">
              <w:t xml:space="preserve">t at a simple interest rate of </w:t>
            </w:r>
            <w:r w:rsidR="00C56908">
              <w:t>[</w:t>
            </w:r>
            <w:r w:rsidR="00C56908" w:rsidRPr="00EC0955">
              <w:rPr>
                <w:highlight w:val="yellow"/>
              </w:rPr>
              <w:t>__</w:t>
            </w:r>
            <w:r w:rsidR="00C56908">
              <w:t xml:space="preserve">] </w:t>
            </w:r>
            <w:r w:rsidRPr="006514FD">
              <w:t>%</w:t>
            </w:r>
            <w:r>
              <w:t xml:space="preserve"> (the “Notes”).</w:t>
            </w:r>
          </w:p>
          <w:p w14:paraId="24530830" w14:textId="77777777" w:rsidR="00BF1B18" w:rsidRDefault="00BF1B18"/>
        </w:tc>
      </w:tr>
      <w:tr w:rsidR="00BF1B18" w14:paraId="63707B6D" w14:textId="77777777">
        <w:tc>
          <w:tcPr>
            <w:tcW w:w="3438" w:type="dxa"/>
            <w:shd w:val="clear" w:color="auto" w:fill="auto"/>
          </w:tcPr>
          <w:p w14:paraId="31914534" w14:textId="77777777" w:rsidR="00BF1B18" w:rsidRPr="0048624A" w:rsidRDefault="00BF1B18">
            <w:pPr>
              <w:rPr>
                <w:i/>
              </w:rPr>
            </w:pPr>
            <w:r w:rsidRPr="0048624A">
              <w:rPr>
                <w:i/>
              </w:rPr>
              <w:t>Amount of Financing:</w:t>
            </w:r>
          </w:p>
        </w:tc>
        <w:tc>
          <w:tcPr>
            <w:tcW w:w="6138" w:type="dxa"/>
            <w:shd w:val="clear" w:color="auto" w:fill="auto"/>
          </w:tcPr>
          <w:p w14:paraId="2D18AF10" w14:textId="77777777" w:rsidR="00BF1B18" w:rsidRDefault="00BF1B18">
            <w:r>
              <w:t>$</w:t>
            </w:r>
            <w:r w:rsidR="00C56908">
              <w:t>[</w:t>
            </w:r>
            <w:r w:rsidR="00C56908" w:rsidRPr="00EC0955">
              <w:rPr>
                <w:highlight w:val="yellow"/>
              </w:rPr>
              <w:t>____________</w:t>
            </w:r>
            <w:r w:rsidR="00C56908">
              <w:t>]</w:t>
            </w:r>
            <w:r>
              <w:t xml:space="preserve"> </w:t>
            </w:r>
          </w:p>
          <w:p w14:paraId="2700C41E" w14:textId="77777777" w:rsidR="00BF1B18" w:rsidRDefault="00BF1B18"/>
        </w:tc>
      </w:tr>
      <w:tr w:rsidR="00BF1B18" w14:paraId="03C0F0CB" w14:textId="77777777">
        <w:tc>
          <w:tcPr>
            <w:tcW w:w="3438" w:type="dxa"/>
            <w:shd w:val="clear" w:color="auto" w:fill="auto"/>
          </w:tcPr>
          <w:p w14:paraId="6D3BFE34" w14:textId="77777777" w:rsidR="006514FD" w:rsidRDefault="00BF1B18">
            <w:pPr>
              <w:rPr>
                <w:i/>
              </w:rPr>
            </w:pPr>
            <w:r w:rsidRPr="0048624A">
              <w:rPr>
                <w:i/>
              </w:rPr>
              <w:t>Closing:</w:t>
            </w:r>
          </w:p>
          <w:p w14:paraId="31940987" w14:textId="77777777" w:rsidR="006514FD" w:rsidRDefault="006514FD">
            <w:pPr>
              <w:rPr>
                <w:i/>
              </w:rPr>
            </w:pPr>
          </w:p>
          <w:p w14:paraId="173E449B" w14:textId="77777777" w:rsidR="006514FD" w:rsidRDefault="006514FD">
            <w:pPr>
              <w:rPr>
                <w:i/>
              </w:rPr>
            </w:pPr>
          </w:p>
          <w:p w14:paraId="4ADAA980" w14:textId="77777777" w:rsidR="006514FD" w:rsidRDefault="006514FD">
            <w:pPr>
              <w:rPr>
                <w:i/>
              </w:rPr>
            </w:pPr>
          </w:p>
          <w:p w14:paraId="41A5805F" w14:textId="77777777" w:rsidR="006514FD" w:rsidRDefault="006514FD">
            <w:pPr>
              <w:rPr>
                <w:i/>
              </w:rPr>
            </w:pPr>
          </w:p>
          <w:p w14:paraId="053A936F" w14:textId="77777777" w:rsidR="006514FD" w:rsidRDefault="006514FD">
            <w:pPr>
              <w:rPr>
                <w:i/>
              </w:rPr>
            </w:pPr>
          </w:p>
          <w:p w14:paraId="3336B169" w14:textId="77777777" w:rsidR="006514FD" w:rsidRDefault="006514FD">
            <w:pPr>
              <w:rPr>
                <w:i/>
              </w:rPr>
            </w:pPr>
          </w:p>
          <w:p w14:paraId="5440E9CD" w14:textId="77777777" w:rsidR="00BF1B18" w:rsidRPr="0048624A" w:rsidRDefault="006514FD">
            <w:pPr>
              <w:rPr>
                <w:i/>
              </w:rPr>
            </w:pPr>
            <w:r>
              <w:rPr>
                <w:i/>
              </w:rPr>
              <w:t>Minimum Investment:</w:t>
            </w:r>
          </w:p>
        </w:tc>
        <w:tc>
          <w:tcPr>
            <w:tcW w:w="6138" w:type="dxa"/>
            <w:shd w:val="clear" w:color="auto" w:fill="auto"/>
          </w:tcPr>
          <w:p w14:paraId="59564373" w14:textId="77777777" w:rsidR="006514FD" w:rsidRDefault="00BF1B18">
            <w:r>
              <w:t xml:space="preserve">A first closing will be held on or before </w:t>
            </w:r>
            <w:r w:rsidR="00C56908">
              <w:t>[</w:t>
            </w:r>
            <w:r w:rsidR="00C56908" w:rsidRPr="00EC0955">
              <w:rPr>
                <w:i/>
                <w:highlight w:val="yellow"/>
              </w:rPr>
              <w:t>Date, e.g., January 1, 201</w:t>
            </w:r>
            <w:r w:rsidR="00FC232C" w:rsidRPr="00FC232C">
              <w:rPr>
                <w:i/>
                <w:highlight w:val="yellow"/>
              </w:rPr>
              <w:t>9</w:t>
            </w:r>
            <w:r w:rsidR="00C56908" w:rsidRPr="00C56908">
              <w:t>]</w:t>
            </w:r>
            <w:r w:rsidRPr="00C56908">
              <w:rPr>
                <w:i/>
              </w:rPr>
              <w:t xml:space="preserve"> </w:t>
            </w:r>
            <w:r>
              <w:t>or such other date that the Company and the investor(s) participating in such closing (each a “Note Holder”) mutually decide upon (the “Initial Closing”). Additio</w:t>
            </w:r>
            <w:r w:rsidR="006514FD">
              <w:t xml:space="preserve">nal closings may be held up to </w:t>
            </w:r>
            <w:r w:rsidRPr="006514FD">
              <w:t>90</w:t>
            </w:r>
            <w:r>
              <w:t xml:space="preserve"> days after the Initial Closing at the option of the Company.</w:t>
            </w:r>
          </w:p>
          <w:p w14:paraId="5D6674C8" w14:textId="77777777" w:rsidR="006514FD" w:rsidRDefault="006514FD"/>
          <w:p w14:paraId="3E9B0CF9" w14:textId="77777777" w:rsidR="00BF1B18" w:rsidRDefault="006514FD">
            <w:r>
              <w:t>$</w:t>
            </w:r>
            <w:r w:rsidR="00C56908">
              <w:t>[</w:t>
            </w:r>
            <w:r w:rsidR="00C56908" w:rsidRPr="00EC0955">
              <w:rPr>
                <w:highlight w:val="yellow"/>
              </w:rPr>
              <w:t>_______________</w:t>
            </w:r>
            <w:r w:rsidR="00C56908">
              <w:t>]</w:t>
            </w:r>
          </w:p>
          <w:p w14:paraId="5D4D9102" w14:textId="77777777" w:rsidR="00BF1B18" w:rsidRDefault="00BF1B18"/>
        </w:tc>
      </w:tr>
      <w:tr w:rsidR="00BF1B18" w14:paraId="2D7F3DA5" w14:textId="77777777">
        <w:tc>
          <w:tcPr>
            <w:tcW w:w="3438" w:type="dxa"/>
            <w:shd w:val="clear" w:color="auto" w:fill="auto"/>
          </w:tcPr>
          <w:p w14:paraId="1BE240EA" w14:textId="77777777" w:rsidR="00BF1B18" w:rsidRPr="0048624A" w:rsidRDefault="00BF1B18">
            <w:pPr>
              <w:rPr>
                <w:i/>
              </w:rPr>
            </w:pPr>
            <w:r w:rsidRPr="0048624A">
              <w:rPr>
                <w:i/>
              </w:rPr>
              <w:t>Terms of Conversion:</w:t>
            </w:r>
          </w:p>
        </w:tc>
        <w:tc>
          <w:tcPr>
            <w:tcW w:w="6138" w:type="dxa"/>
            <w:shd w:val="clear" w:color="auto" w:fill="auto"/>
          </w:tcPr>
          <w:p w14:paraId="51E10814" w14:textId="77777777" w:rsidR="00BF1B18" w:rsidRDefault="00BF1B18" w:rsidP="00EC0955">
            <w:r>
              <w:t>Mandatory Conversion: The Notes and any accrued interest will be converted into the Company’s next issued series of preferred stock (the “Preferred Shares”) resulting</w:t>
            </w:r>
            <w:r w:rsidR="006514FD">
              <w:t xml:space="preserve"> in new money of not less than </w:t>
            </w:r>
            <w:r w:rsidRPr="006514FD">
              <w:t>$</w:t>
            </w:r>
            <w:r w:rsidR="00C56908">
              <w:t>[</w:t>
            </w:r>
            <w:r w:rsidR="00C56908" w:rsidRPr="00EC0955">
              <w:rPr>
                <w:highlight w:val="yellow"/>
              </w:rPr>
              <w:t>_____________</w:t>
            </w:r>
            <w:r w:rsidR="00C56908">
              <w:t>]</w:t>
            </w:r>
            <w:r>
              <w:t xml:space="preserve"> (the “Preferred Financing”) at a discount to the per-share pri</w:t>
            </w:r>
            <w:r w:rsidR="006514FD">
              <w:t xml:space="preserve">ce of such Preferred Shares of </w:t>
            </w:r>
            <w:r w:rsidR="00C56908">
              <w:t>[</w:t>
            </w:r>
            <w:r w:rsidR="00C56908" w:rsidRPr="00EC0955">
              <w:rPr>
                <w:highlight w:val="yellow"/>
              </w:rPr>
              <w:t>___</w:t>
            </w:r>
            <w:r w:rsidR="00C56908">
              <w:t>]</w:t>
            </w:r>
            <w:r w:rsidRPr="006514FD">
              <w:t>%</w:t>
            </w:r>
            <w:r>
              <w:t xml:space="preserve"> (the “Conversion Price”). </w:t>
            </w:r>
          </w:p>
          <w:p w14:paraId="40FFD483" w14:textId="77777777" w:rsidR="00BF1B18" w:rsidRDefault="00BF1B18"/>
          <w:p w14:paraId="318878FC" w14:textId="5A4F48C6" w:rsidR="00BF1B18" w:rsidRDefault="00BF1B18">
            <w:r>
              <w:t>Voluntary Conversion: The Notes and any accrued interest shall be convertible, at the</w:t>
            </w:r>
            <w:r w:rsidR="006514FD">
              <w:t xml:space="preserve"> option of the </w:t>
            </w:r>
            <w:r w:rsidR="00171745">
              <w:t xml:space="preserve">Note Holder, </w:t>
            </w:r>
            <w:r w:rsidR="00171745">
              <w:lastRenderedPageBreak/>
              <w:t xml:space="preserve">immediately prior to </w:t>
            </w:r>
            <w:r w:rsidR="006514FD">
              <w:t xml:space="preserve">the </w:t>
            </w:r>
            <w:r w:rsidR="00EC0955">
              <w:t>[</w:t>
            </w:r>
            <w:r w:rsidR="00EC0955" w:rsidRPr="00EC0955">
              <w:rPr>
                <w:highlight w:val="yellow"/>
              </w:rPr>
              <w:t>___</w:t>
            </w:r>
            <w:r w:rsidR="00EC0955">
              <w:t>]</w:t>
            </w:r>
            <w:r w:rsidRPr="006514FD">
              <w:t>-month</w:t>
            </w:r>
            <w:r>
              <w:t xml:space="preserve"> anniversary of the Initial Closing (the “Maturity Date”), into shares of Comm</w:t>
            </w:r>
            <w:r w:rsidR="006514FD">
              <w:t xml:space="preserve">on Stock at a conversion price </w:t>
            </w:r>
            <w:r>
              <w:t>equivalen</w:t>
            </w:r>
            <w:r w:rsidR="006514FD">
              <w:t>t to a pre-money valuation of $</w:t>
            </w:r>
            <w:r w:rsidR="00C56908">
              <w:t>[</w:t>
            </w:r>
            <w:r w:rsidR="00C56908" w:rsidRPr="00EC0955">
              <w:rPr>
                <w:highlight w:val="yellow"/>
              </w:rPr>
              <w:t>_____________</w:t>
            </w:r>
            <w:r w:rsidR="00C56908">
              <w:t>]</w:t>
            </w:r>
            <w:r w:rsidR="006514FD">
              <w:t>.</w:t>
            </w:r>
          </w:p>
          <w:p w14:paraId="5B963BC1" w14:textId="77777777" w:rsidR="00BF1B18" w:rsidRDefault="00BF1B18"/>
        </w:tc>
      </w:tr>
      <w:tr w:rsidR="00BF1B18" w14:paraId="6CDE4CB4" w14:textId="77777777">
        <w:tc>
          <w:tcPr>
            <w:tcW w:w="3438" w:type="dxa"/>
            <w:shd w:val="clear" w:color="auto" w:fill="auto"/>
          </w:tcPr>
          <w:p w14:paraId="056CB751" w14:textId="77777777" w:rsidR="00BF1B18" w:rsidRPr="0048624A" w:rsidRDefault="00BF1B18">
            <w:pPr>
              <w:rPr>
                <w:i/>
              </w:rPr>
            </w:pPr>
            <w:r w:rsidRPr="0048624A">
              <w:rPr>
                <w:i/>
              </w:rPr>
              <w:lastRenderedPageBreak/>
              <w:t>Term of Payment:</w:t>
            </w:r>
          </w:p>
        </w:tc>
        <w:tc>
          <w:tcPr>
            <w:tcW w:w="6138" w:type="dxa"/>
            <w:shd w:val="clear" w:color="auto" w:fill="auto"/>
          </w:tcPr>
          <w:p w14:paraId="36C13FC5" w14:textId="726328FE" w:rsidR="00BF1B18" w:rsidRDefault="00BF1B18" w:rsidP="00EC0955">
            <w:pPr>
              <w:ind w:hanging="18"/>
            </w:pPr>
            <w:r>
              <w:t xml:space="preserve">If the </w:t>
            </w:r>
            <w:r w:rsidR="00171745">
              <w:t>Note Holder</w:t>
            </w:r>
            <w:r>
              <w:t xml:space="preserve"> has not elected a Voluntary Conversion, then all outstanding principal and accrued interest under the Note is due and payable to each Note Holder on the Maturity Date.</w:t>
            </w:r>
          </w:p>
          <w:p w14:paraId="2EB83BE3" w14:textId="77777777" w:rsidR="00BF1B18" w:rsidRDefault="00BF1B18"/>
        </w:tc>
      </w:tr>
      <w:tr w:rsidR="00BF1B18" w14:paraId="3B31E635" w14:textId="77777777">
        <w:tc>
          <w:tcPr>
            <w:tcW w:w="3438" w:type="dxa"/>
            <w:shd w:val="clear" w:color="auto" w:fill="auto"/>
          </w:tcPr>
          <w:p w14:paraId="27317C0B" w14:textId="77777777" w:rsidR="00BF1B18" w:rsidRPr="0048624A" w:rsidRDefault="00BF1B18">
            <w:pPr>
              <w:rPr>
                <w:i/>
              </w:rPr>
            </w:pPr>
            <w:r w:rsidRPr="0048624A">
              <w:rPr>
                <w:i/>
              </w:rPr>
              <w:t>Payment:</w:t>
            </w:r>
          </w:p>
        </w:tc>
        <w:tc>
          <w:tcPr>
            <w:tcW w:w="6138" w:type="dxa"/>
            <w:shd w:val="clear" w:color="auto" w:fill="auto"/>
          </w:tcPr>
          <w:p w14:paraId="30708624" w14:textId="77777777" w:rsidR="00BF1B18" w:rsidRDefault="00BF1B18">
            <w:r>
              <w:t>The Notes may be prepaid only upon prior written approval of the holders of a majority-in-interest of the outstanding principal amount of the Notes (“Majority Holders”). Any prepayment must be made in connection with the prepayment of all Notes issued under the Note Purchase Agreement, as amended.</w:t>
            </w:r>
          </w:p>
          <w:p w14:paraId="67D6EC3E" w14:textId="77777777" w:rsidR="00BF1B18" w:rsidRDefault="00BF1B18"/>
        </w:tc>
      </w:tr>
      <w:tr w:rsidR="00BF1B18" w14:paraId="032DE14F" w14:textId="77777777">
        <w:tc>
          <w:tcPr>
            <w:tcW w:w="3438" w:type="dxa"/>
            <w:shd w:val="clear" w:color="auto" w:fill="auto"/>
          </w:tcPr>
          <w:p w14:paraId="04595760" w14:textId="77777777" w:rsidR="00BF1B18" w:rsidRPr="0048624A" w:rsidRDefault="00BF1B18">
            <w:pPr>
              <w:rPr>
                <w:i/>
              </w:rPr>
            </w:pPr>
            <w:r w:rsidRPr="0048624A">
              <w:rPr>
                <w:i/>
              </w:rPr>
              <w:t>Change of Control:</w:t>
            </w:r>
          </w:p>
        </w:tc>
        <w:tc>
          <w:tcPr>
            <w:tcW w:w="6138" w:type="dxa"/>
            <w:shd w:val="clear" w:color="auto" w:fill="auto"/>
          </w:tcPr>
          <w:p w14:paraId="7279A25D" w14:textId="77777777" w:rsidR="00BF1B18" w:rsidRDefault="00BF1B18" w:rsidP="00EC0955">
            <w:r>
              <w:t>If an acquisition or similar change of control transaction occurs prior to the Preferred Financing</w:t>
            </w:r>
            <w:r w:rsidR="00F95244">
              <w:t xml:space="preserve"> or the Maturity Date</w:t>
            </w:r>
            <w:r>
              <w:t>, then upon the closing of such transaction, the Notes will, at the election of the Majority Holders, become</w:t>
            </w:r>
          </w:p>
          <w:p w14:paraId="3F56B53C" w14:textId="77777777" w:rsidR="00BF1B18" w:rsidRDefault="00BF1B18" w:rsidP="00EC0955">
            <w:pPr>
              <w:pStyle w:val="ListParagraph"/>
              <w:numPr>
                <w:ilvl w:val="0"/>
                <w:numId w:val="4"/>
              </w:numPr>
            </w:pPr>
            <w:r>
              <w:t>payable upon demand as of the closing of such transaction; or</w:t>
            </w:r>
          </w:p>
          <w:p w14:paraId="7C73848D" w14:textId="77777777" w:rsidR="00BF1B18" w:rsidRDefault="00BF1B18" w:rsidP="00EC0955">
            <w:pPr>
              <w:pStyle w:val="ListParagraph"/>
              <w:numPr>
                <w:ilvl w:val="0"/>
                <w:numId w:val="4"/>
              </w:numPr>
            </w:pPr>
            <w:r>
              <w:t xml:space="preserve">redeemable for a payment equal to the amount each Note Holder would have received had the Note converted immediately prior to the transaction to </w:t>
            </w:r>
            <w:r>
              <w:br/>
            </w:r>
            <w:r>
              <w:tab/>
              <w:t xml:space="preserve">i) Preferred Stock (if a Preferred Financing is </w:t>
            </w:r>
            <w:r>
              <w:tab/>
              <w:t xml:space="preserve">pending at the time of the transaction) or, </w:t>
            </w:r>
            <w:r>
              <w:br/>
            </w:r>
            <w:r>
              <w:tab/>
              <w:t xml:space="preserve">ii) if no </w:t>
            </w:r>
            <w:r w:rsidR="00C85B78">
              <w:t>P</w:t>
            </w:r>
            <w:r>
              <w:t xml:space="preserve">referred Financing is pending, to </w:t>
            </w:r>
            <w:r>
              <w:tab/>
              <w:t xml:space="preserve">Common Stock at a price per share equivalent </w:t>
            </w:r>
            <w:r>
              <w:tab/>
              <w:t>to a fully diluted pre-money valuation of $</w:t>
            </w:r>
            <w:r w:rsidR="00C56908">
              <w:t>[</w:t>
            </w:r>
            <w:r w:rsidR="00C56908" w:rsidRPr="00EC0955">
              <w:rPr>
                <w:highlight w:val="yellow"/>
              </w:rPr>
              <w:t>_____________</w:t>
            </w:r>
            <w:r w:rsidR="00C56908">
              <w:t>]</w:t>
            </w:r>
            <w:r>
              <w:t>,</w:t>
            </w:r>
            <w:r>
              <w:br/>
              <w:t>to be paid in the same form of consideration (e.g., a mix of cash and stock) received by other equity holders in the transaction.</w:t>
            </w:r>
          </w:p>
          <w:p w14:paraId="76B1198B" w14:textId="77777777" w:rsidR="00BF1B18" w:rsidRDefault="00BF1B18" w:rsidP="00EC0955"/>
        </w:tc>
      </w:tr>
      <w:tr w:rsidR="00BF1B18" w14:paraId="636DF523" w14:textId="77777777">
        <w:tc>
          <w:tcPr>
            <w:tcW w:w="3438" w:type="dxa"/>
            <w:shd w:val="clear" w:color="auto" w:fill="auto"/>
          </w:tcPr>
          <w:p w14:paraId="12295843" w14:textId="77777777" w:rsidR="00BF1B18" w:rsidRPr="0048624A" w:rsidRDefault="00BF1B18">
            <w:pPr>
              <w:rPr>
                <w:i/>
              </w:rPr>
            </w:pPr>
            <w:r w:rsidRPr="0048624A">
              <w:rPr>
                <w:i/>
              </w:rPr>
              <w:t>Documentation:</w:t>
            </w:r>
          </w:p>
        </w:tc>
        <w:tc>
          <w:tcPr>
            <w:tcW w:w="6138" w:type="dxa"/>
            <w:shd w:val="clear" w:color="auto" w:fill="auto"/>
          </w:tcPr>
          <w:p w14:paraId="572BBD89" w14:textId="77777777" w:rsidR="00BF1B18" w:rsidRDefault="00BF1B18" w:rsidP="00EC0955">
            <w:r>
              <w:t>The transaction will be documented by counsel to the Company with the documents containing the provisions described above and consisting of the following:</w:t>
            </w:r>
          </w:p>
          <w:p w14:paraId="44130E48" w14:textId="77777777" w:rsidR="00BF1B18" w:rsidRDefault="00BF1B18" w:rsidP="00EC0955">
            <w:pPr>
              <w:pStyle w:val="ListParagraph"/>
              <w:numPr>
                <w:ilvl w:val="0"/>
                <w:numId w:val="5"/>
              </w:numPr>
            </w:pPr>
            <w:r>
              <w:t>Note Purchase Agreement</w:t>
            </w:r>
          </w:p>
          <w:p w14:paraId="2A17AE02" w14:textId="77777777" w:rsidR="00BF1B18" w:rsidRDefault="00BF1B18" w:rsidP="00EC0955">
            <w:pPr>
              <w:pStyle w:val="ListParagraph"/>
              <w:numPr>
                <w:ilvl w:val="0"/>
                <w:numId w:val="5"/>
              </w:numPr>
            </w:pPr>
            <w:r>
              <w:t>Convertible Promissory Note(s)</w:t>
            </w:r>
          </w:p>
          <w:p w14:paraId="697B5200" w14:textId="77777777" w:rsidR="00BF1B18" w:rsidRDefault="00BF1B18" w:rsidP="00EC0955">
            <w:pPr>
              <w:pStyle w:val="ListParagraph"/>
              <w:numPr>
                <w:ilvl w:val="0"/>
                <w:numId w:val="5"/>
              </w:numPr>
            </w:pPr>
            <w:r>
              <w:t>Investor Questionnaire</w:t>
            </w:r>
          </w:p>
          <w:p w14:paraId="3B05AA95" w14:textId="77777777" w:rsidR="00BF1B18" w:rsidRDefault="00BF1B18" w:rsidP="00EC0955"/>
        </w:tc>
      </w:tr>
      <w:tr w:rsidR="00BF1B18" w14:paraId="0CFC0CA1" w14:textId="77777777">
        <w:tc>
          <w:tcPr>
            <w:tcW w:w="3438" w:type="dxa"/>
            <w:shd w:val="clear" w:color="auto" w:fill="auto"/>
          </w:tcPr>
          <w:p w14:paraId="0C6225D8" w14:textId="77777777" w:rsidR="00BF1B18" w:rsidRPr="0048624A" w:rsidRDefault="00BF1B18">
            <w:pPr>
              <w:rPr>
                <w:i/>
              </w:rPr>
            </w:pPr>
            <w:r w:rsidRPr="0048624A">
              <w:rPr>
                <w:i/>
              </w:rPr>
              <w:t>Note Purchase Agreement:</w:t>
            </w:r>
          </w:p>
        </w:tc>
        <w:tc>
          <w:tcPr>
            <w:tcW w:w="6138" w:type="dxa"/>
            <w:shd w:val="clear" w:color="auto" w:fill="auto"/>
          </w:tcPr>
          <w:p w14:paraId="2C52990D" w14:textId="77777777" w:rsidR="00BF1B18" w:rsidRDefault="00BF1B18">
            <w:r>
              <w:t>The Notes will be issued pursuant to a definitive Note Purchase Agreement containing customary covenants, representations and warranties of the Company.</w:t>
            </w:r>
          </w:p>
          <w:p w14:paraId="77C6496F" w14:textId="77777777" w:rsidR="00BF1B18" w:rsidRDefault="00BF1B18"/>
        </w:tc>
      </w:tr>
      <w:tr w:rsidR="002414FB" w14:paraId="3EE9DF72" w14:textId="77777777">
        <w:tc>
          <w:tcPr>
            <w:tcW w:w="3438" w:type="dxa"/>
            <w:shd w:val="clear" w:color="auto" w:fill="auto"/>
          </w:tcPr>
          <w:p w14:paraId="3C7D4625" w14:textId="77777777" w:rsidR="002414FB" w:rsidRPr="0048624A" w:rsidRDefault="002414FB">
            <w:pPr>
              <w:rPr>
                <w:i/>
              </w:rPr>
            </w:pPr>
            <w:r>
              <w:rPr>
                <w:i/>
              </w:rPr>
              <w:t>Expiration Date:</w:t>
            </w:r>
          </w:p>
        </w:tc>
        <w:tc>
          <w:tcPr>
            <w:tcW w:w="6138" w:type="dxa"/>
            <w:shd w:val="clear" w:color="auto" w:fill="auto"/>
          </w:tcPr>
          <w:p w14:paraId="2CF8C220" w14:textId="77777777" w:rsidR="002414FB" w:rsidRDefault="002414FB">
            <w:r>
              <w:t xml:space="preserve">This offer will expire on </w:t>
            </w:r>
            <w:r w:rsidR="00C56908">
              <w:t>[</w:t>
            </w:r>
            <w:r w:rsidR="00C56908" w:rsidRPr="00EC0955">
              <w:rPr>
                <w:i/>
                <w:highlight w:val="yellow"/>
              </w:rPr>
              <w:t>Date of expiration</w:t>
            </w:r>
            <w:r w:rsidR="00C56908">
              <w:t>]</w:t>
            </w:r>
            <w:r>
              <w:t>, unless extended in writing by the Company.</w:t>
            </w:r>
          </w:p>
          <w:p w14:paraId="5E3C0071" w14:textId="77777777" w:rsidR="002414FB" w:rsidRDefault="002414FB"/>
        </w:tc>
      </w:tr>
      <w:tr w:rsidR="00BF1B18" w14:paraId="5A569516" w14:textId="77777777">
        <w:tc>
          <w:tcPr>
            <w:tcW w:w="3438" w:type="dxa"/>
            <w:shd w:val="clear" w:color="auto" w:fill="auto"/>
          </w:tcPr>
          <w:p w14:paraId="2D2DDD93" w14:textId="77777777" w:rsidR="00BF1B18" w:rsidRPr="0048624A" w:rsidRDefault="00BF1B18">
            <w:pPr>
              <w:rPr>
                <w:i/>
              </w:rPr>
            </w:pPr>
            <w:r w:rsidRPr="0048624A">
              <w:rPr>
                <w:i/>
              </w:rPr>
              <w:t>Expenses:</w:t>
            </w:r>
          </w:p>
        </w:tc>
        <w:tc>
          <w:tcPr>
            <w:tcW w:w="6138" w:type="dxa"/>
            <w:shd w:val="clear" w:color="auto" w:fill="auto"/>
          </w:tcPr>
          <w:p w14:paraId="539A1CFA" w14:textId="6D4613E0" w:rsidR="00BF1B18" w:rsidRDefault="00BF1B18" w:rsidP="00171745">
            <w:r>
              <w:t xml:space="preserve">The Company and the </w:t>
            </w:r>
            <w:r w:rsidR="00171745">
              <w:t>Note Holders</w:t>
            </w:r>
            <w:bookmarkStart w:id="0" w:name="_GoBack"/>
            <w:bookmarkEnd w:id="0"/>
            <w:r>
              <w:t xml:space="preserve"> will each bear their own legal and other expenses with respect to the t</w:t>
            </w:r>
            <w:r w:rsidR="0012725D">
              <w:t>ransactions contemplated herein.</w:t>
            </w:r>
          </w:p>
        </w:tc>
      </w:tr>
    </w:tbl>
    <w:p w14:paraId="46A246E8" w14:textId="77777777" w:rsidR="005D4BF1" w:rsidRPr="005D4BF1" w:rsidRDefault="005D4BF1" w:rsidP="0012725D"/>
    <w:sectPr w:rsidR="005D4BF1" w:rsidRPr="005D4BF1" w:rsidSect="005D4B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7B5E"/>
    <w:multiLevelType w:val="hybridMultilevel"/>
    <w:tmpl w:val="253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568DE"/>
    <w:multiLevelType w:val="hybridMultilevel"/>
    <w:tmpl w:val="A09E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22904"/>
    <w:multiLevelType w:val="hybridMultilevel"/>
    <w:tmpl w:val="65C4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F4B02"/>
    <w:multiLevelType w:val="hybridMultilevel"/>
    <w:tmpl w:val="85C20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9572E"/>
    <w:multiLevelType w:val="multilevel"/>
    <w:tmpl w:val="25349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4BF1"/>
    <w:rsid w:val="0003391A"/>
    <w:rsid w:val="000843E0"/>
    <w:rsid w:val="0012725D"/>
    <w:rsid w:val="00137C93"/>
    <w:rsid w:val="00152A53"/>
    <w:rsid w:val="00171745"/>
    <w:rsid w:val="001753A2"/>
    <w:rsid w:val="002414FB"/>
    <w:rsid w:val="00267312"/>
    <w:rsid w:val="002E6166"/>
    <w:rsid w:val="003C4021"/>
    <w:rsid w:val="004E62CB"/>
    <w:rsid w:val="004F1431"/>
    <w:rsid w:val="004F256A"/>
    <w:rsid w:val="00594C16"/>
    <w:rsid w:val="00595139"/>
    <w:rsid w:val="005D4BF1"/>
    <w:rsid w:val="006422D6"/>
    <w:rsid w:val="006514FD"/>
    <w:rsid w:val="007D1C52"/>
    <w:rsid w:val="007D1D33"/>
    <w:rsid w:val="00813B7D"/>
    <w:rsid w:val="00960D50"/>
    <w:rsid w:val="009833E5"/>
    <w:rsid w:val="00AA01DA"/>
    <w:rsid w:val="00AB5E3A"/>
    <w:rsid w:val="00B445BB"/>
    <w:rsid w:val="00B4612F"/>
    <w:rsid w:val="00BB2CCE"/>
    <w:rsid w:val="00BE523F"/>
    <w:rsid w:val="00BF1B18"/>
    <w:rsid w:val="00C53478"/>
    <w:rsid w:val="00C56908"/>
    <w:rsid w:val="00C85B78"/>
    <w:rsid w:val="00CA39FF"/>
    <w:rsid w:val="00CF4A2A"/>
    <w:rsid w:val="00D60E9F"/>
    <w:rsid w:val="00EC0955"/>
    <w:rsid w:val="00F20061"/>
    <w:rsid w:val="00F94CEC"/>
    <w:rsid w:val="00F95244"/>
    <w:rsid w:val="00FC232C"/>
    <w:rsid w:val="00FE65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A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F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F"/>
    <w:pPr>
      <w:ind w:left="720"/>
      <w:contextualSpacing/>
    </w:pPr>
  </w:style>
  <w:style w:type="table" w:styleId="TableGrid">
    <w:name w:val="Table Grid"/>
    <w:basedOn w:val="TableNormal"/>
    <w:uiPriority w:val="59"/>
    <w:rsid w:val="00BF1B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4CEC"/>
    <w:pPr>
      <w:tabs>
        <w:tab w:val="center" w:pos="4320"/>
        <w:tab w:val="right" w:pos="8640"/>
      </w:tabs>
    </w:pPr>
  </w:style>
  <w:style w:type="character" w:customStyle="1" w:styleId="HeaderChar">
    <w:name w:val="Header Char"/>
    <w:basedOn w:val="DefaultParagraphFont"/>
    <w:link w:val="Header"/>
    <w:uiPriority w:val="99"/>
    <w:semiHidden/>
    <w:rsid w:val="00F94CEC"/>
    <w:rPr>
      <w:rFonts w:ascii="Times New Roman" w:hAnsi="Times New Roman"/>
    </w:rPr>
  </w:style>
  <w:style w:type="paragraph" w:styleId="Footer">
    <w:name w:val="footer"/>
    <w:basedOn w:val="Normal"/>
    <w:link w:val="FooterChar"/>
    <w:uiPriority w:val="99"/>
    <w:semiHidden/>
    <w:unhideWhenUsed/>
    <w:rsid w:val="00F94CEC"/>
    <w:pPr>
      <w:tabs>
        <w:tab w:val="center" w:pos="4320"/>
        <w:tab w:val="right" w:pos="8640"/>
      </w:tabs>
    </w:pPr>
  </w:style>
  <w:style w:type="character" w:customStyle="1" w:styleId="FooterChar">
    <w:name w:val="Footer Char"/>
    <w:basedOn w:val="DefaultParagraphFont"/>
    <w:link w:val="Footer"/>
    <w:uiPriority w:val="99"/>
    <w:semiHidden/>
    <w:rsid w:val="00F94CEC"/>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662</Words>
  <Characters>3775</Characters>
  <Application>Microsoft Macintosh Word</Application>
  <DocSecurity>0</DocSecurity>
  <Lines>31</Lines>
  <Paragraphs>8</Paragraphs>
  <ScaleCrop>false</ScaleCrop>
  <Company>COMAR LAW</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Inder Comar</cp:lastModifiedBy>
  <cp:revision>11</cp:revision>
  <cp:lastPrinted>2013-02-12T22:48:00Z</cp:lastPrinted>
  <dcterms:created xsi:type="dcterms:W3CDTF">2013-01-21T18:03:00Z</dcterms:created>
  <dcterms:modified xsi:type="dcterms:W3CDTF">2015-11-10T00:53:00Z</dcterms:modified>
</cp:coreProperties>
</file>