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Nicholas Goldberg</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Meteor Organization Ltd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84 Noalimba Avenue </w:t>
      </w:r>
    </w:p>
    <w:p>
      <w:pPr>
        <w:pStyle w:val="Normal"/>
        <w:spacing w:lineRule="auto" w:line="360"/>
        <w:rPr>
          <w:rFonts w:ascii="Arial" w:hAnsi="Arial"/>
          <w:sz w:val="16"/>
          <w:szCs w:val="16"/>
        </w:rPr>
      </w:pPr>
      <w:r>
        <w:rPr>
          <w:rFonts w:ascii="Arial" w:hAnsi="Arial"/>
          <w:sz w:val="16"/>
          <w:szCs w:val="16"/>
        </w:rPr>
        <w:t>GUM FLAT NSW 2360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Goldberg,</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Further to our earlier discussion on Meteor Organization’s current project, we now submit a proposal from Forever Young Ltd for your consideration. We believe Forever Young Ltd is your right candidate to collaborate with Meteor Organization in marketing your products globally, with its high quality services, commitment, and expertise.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From our enclosure, you will approve of Forever Young Ltd’s impressive business strategies, which have heaped outstanding feedback from our clients in past projects for the outstanding services rendered to Forever Young’s esteemed clients. Enclosed is a listing of our esteemed clientele for your perusal.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Forever Young is capable in adjusting and focusing on current and effective strategies while tracking the current market sentiments to benefit Meteor Organization in your sales strategies for your new product launch.</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look forward to hearing positively from you for further collaboration.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Cindy Larlaton</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2016-01-09T12:20:00Z</dcterms:created>
  <dc:language>en-IN</dc:language>
  <cp:revision>0</cp:revision>
</cp:coreProperties>
</file>