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[NAME OF HIRING ENTITY, e.g., Department, Office of Personnel Management, etc.] Maintains personal information about all of its workers. We are committed to respecting your privacy by handling of all the personal information collected in connection with your employment relationship in accordance with applicable law as well as our own Privacy Policies. This notice explains our practices with regard to your personal information.</w:t>
      </w:r>
    </w:p>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 xml:space="preserve">1. We </w:t>
      </w:r>
      <w:proofErr w:type="gramStart"/>
      <w:r w:rsidRPr="00EE0DFA">
        <w:rPr>
          <w:rFonts w:ascii="Arial" w:hAnsi="Arial" w:cs="Arial"/>
          <w:sz w:val="20"/>
          <w:szCs w:val="20"/>
        </w:rPr>
        <w:t>collect,</w:t>
      </w:r>
      <w:proofErr w:type="gramEnd"/>
      <w:r w:rsidRPr="00EE0DFA">
        <w:rPr>
          <w:rFonts w:ascii="Arial" w:hAnsi="Arial" w:cs="Arial"/>
          <w:sz w:val="20"/>
          <w:szCs w:val="20"/>
        </w:rPr>
        <w:t xml:space="preserve"> process and transfer personal information about our workers through computerized and paper-based data processing systems. We have established routine processing functions (such as processing for regular payroll and benefits administration). We also process worker information on an occasional or ad hoc basis (such as when an employee is being considered for a particular new position). All processing and transfers of personal information are subject to reasonable confidentiality and privacy safeguards. </w:t>
      </w:r>
    </w:p>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2. We process worker personal information for the following purposes: (1) recruitment and staffing; (2) administration of compensation and benefits programs; (3) performance management and training; (4) advancement and succession planning; (5) legal compliance and risk management; (6) workplace management and reporting; (7) to protect ENTITY NAME, its workforce, and the public against injury, theft, legal liability, fraud or abuse; and (8) other legal and customary business-related purposes.</w:t>
      </w:r>
    </w:p>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3. We may process sensitive information (such race or health information) if it is needed to for business objectives or if it is required to comply with applicable law. For example, we may process sensitive health information as needed to accommodate a worker’s disability. We may process information related to race for diversity reporting. Sensitive information will not be collected, processed or transferred, except where adequate privacy protection mechanisms.</w:t>
      </w:r>
    </w:p>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 xml:space="preserve"> 4. We may disclose your personal information (1) to other State departments and agencies, for the purposes listed above, (2) to data processors, who use the data only for our purposes, (3) to those companies that provide benefits and services to you, (4) where required by law, or (5) where permitted by law, such as with your consent or in the event of an emergency. </w:t>
      </w:r>
    </w:p>
    <w:p w:rsidR="00EE0DFA" w:rsidRPr="00EE0DFA" w:rsidRDefault="00EE0DFA" w:rsidP="00EE0DFA">
      <w:pPr>
        <w:spacing w:line="360" w:lineRule="auto"/>
        <w:rPr>
          <w:rFonts w:ascii="Arial" w:hAnsi="Arial" w:cs="Arial"/>
          <w:sz w:val="20"/>
          <w:szCs w:val="20"/>
        </w:rPr>
      </w:pPr>
      <w:r w:rsidRPr="00EE0DFA">
        <w:rPr>
          <w:rFonts w:ascii="Arial" w:hAnsi="Arial" w:cs="Arial"/>
          <w:sz w:val="20"/>
          <w:szCs w:val="20"/>
        </w:rPr>
        <w:t>5. You may reasonably access and update your personal information using the [Name of HR Self-Service Application] or by contacting your local Human Resources manager. Please note that we have shared responsibility with regard to the accuracy of your personal information. Please let us know of any changes to your personal information.</w:t>
      </w:r>
    </w:p>
    <w:sectPr w:rsidR="00EE0DFA" w:rsidRPr="00EE0DFA" w:rsidSect="00EE0DF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E0DFA"/>
    <w:rsid w:val="0066132C"/>
    <w:rsid w:val="00B020BC"/>
    <w:rsid w:val="00E942ED"/>
    <w:rsid w:val="00EE0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2015-08-03T13:07:00Z</dcterms:created>
  <dcterms:modified xsi:type="dcterms:W3CDTF">2015-08-03T13:10:00Z</dcterms:modified>
</cp:coreProperties>
</file>