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ERIKA L. NURSE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Home Address:</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 Local Address: 103 Sycamores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Drive 14 West Main Street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Education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Bachelor of Science in Nursing, University of Delaware, Newark, DE (May 2006) Studies have included focused courses in emergency and neuroscience nursing.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Clinical Experience </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Medical/Surgical II, Veterans Administration Hospital, Wilmington, DE. (October to December 2005) Pediatrics, Christiana Hospital, Wilmington, DE. (September-October 2005) Homeless Health Care, Elective Clinical Experience, Mary Mother of Hope House III, Wilmington, DE. (February- May 2006) Psychiatric, Delaware State Hospital, Wilmington, DE. (April-May 2006) Medical/Surgical I, Union Hospital, Elkton, MD. (February-April 2006) Geriatrics, Leader Nursing Home, Wilmington, DE. (October-December 2005) Maternity, Christiana Hospital, Wilmington, DE. (September- October 2005)</w:t>
      </w:r>
    </w:p>
    <w:p w:rsidR="00210300"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 Related Experience</w:t>
      </w:r>
    </w:p>
    <w:p w:rsidR="0066132C" w:rsidRPr="00210300" w:rsidRDefault="00210300" w:rsidP="00210300">
      <w:pPr>
        <w:spacing w:line="360" w:lineRule="auto"/>
        <w:rPr>
          <w:rFonts w:ascii="Arial" w:hAnsi="Arial" w:cs="Arial"/>
          <w:sz w:val="20"/>
          <w:szCs w:val="20"/>
        </w:rPr>
      </w:pPr>
      <w:r w:rsidRPr="00210300">
        <w:rPr>
          <w:rFonts w:ascii="Arial" w:hAnsi="Arial" w:cs="Arial"/>
          <w:sz w:val="20"/>
          <w:szCs w:val="20"/>
        </w:rPr>
        <w:t xml:space="preserve"> Acute Rehabilitation Nurse Externship, Good Samaritan Hospital, Baltimore, MD. Responsible for total care of several patients. (Summer 2005) Medical Surgical Unit Secretary, Saint Agnes Hospital, Baltimore, MD. (Summer 2004) Other Special Skills Sign Language I and II, Course electives, University of Delaware, Newark, DE. (February-December 2004) Activities Student Nursing Organization (SNO), Member 2003-present Clinical Representative September-December 2004 Alpha Omicron Pi Sorority, Active Member 2003-present</w:t>
      </w:r>
    </w:p>
    <w:sectPr w:rsidR="0066132C" w:rsidRPr="00210300" w:rsidSect="00210300">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210300"/>
    <w:rsid w:val="001A673E"/>
    <w:rsid w:val="00210300"/>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2015-08-06T10:45:00Z</dcterms:created>
  <dcterms:modified xsi:type="dcterms:W3CDTF">2015-08-06T10:48:00Z</dcterms:modified>
</cp:coreProperties>
</file>